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478" w:rsidRPr="00A85917" w:rsidRDefault="00D96478" w:rsidP="00D96478">
      <w:pPr>
        <w:ind w:left="1843" w:right="1983"/>
        <w:jc w:val="both"/>
        <w:rPr>
          <w:rFonts w:ascii="Tahoma" w:hAnsi="Tahoma" w:cs="Tahoma"/>
          <w:i/>
          <w:sz w:val="23"/>
          <w:szCs w:val="23"/>
        </w:rPr>
      </w:pPr>
      <w:r w:rsidRPr="00A85917">
        <w:rPr>
          <w:rFonts w:ascii="Tahoma" w:hAnsi="Tahoma" w:cs="Tahoma"/>
          <w:b/>
          <w:i/>
          <w:sz w:val="23"/>
          <w:szCs w:val="23"/>
        </w:rPr>
        <w:t>Sumilla   :</w:t>
      </w:r>
      <w:r w:rsidRPr="00A85917">
        <w:rPr>
          <w:rFonts w:ascii="Tahoma" w:hAnsi="Tahoma" w:cs="Tahoma"/>
          <w:i/>
          <w:sz w:val="23"/>
          <w:szCs w:val="23"/>
        </w:rPr>
        <w:t xml:space="preserve"> </w:t>
      </w:r>
      <w:r w:rsidRPr="00A85917">
        <w:rPr>
          <w:rFonts w:ascii="Tahoma" w:hAnsi="Tahoma" w:cs="Tahoma"/>
          <w:i/>
          <w:sz w:val="23"/>
          <w:szCs w:val="23"/>
        </w:rPr>
        <w:tab/>
        <w:t xml:space="preserve">“Es pasible de sanción el contratista que incumple injustificadamente </w:t>
      </w:r>
      <w:r w:rsidRPr="00A85917">
        <w:rPr>
          <w:rFonts w:ascii="Tahoma" w:hAnsi="Tahoma" w:cs="Tahoma"/>
          <w:sz w:val="23"/>
          <w:szCs w:val="23"/>
        </w:rPr>
        <w:t>el contrato</w:t>
      </w:r>
      <w:r w:rsidRPr="00A85917">
        <w:rPr>
          <w:rFonts w:ascii="Tahoma" w:hAnsi="Tahoma" w:cs="Tahoma"/>
          <w:i/>
          <w:sz w:val="23"/>
          <w:szCs w:val="23"/>
        </w:rPr>
        <w:t>, pese a haber sido requerido previamente para que ejecute las prestaciones a su cargo</w:t>
      </w:r>
    </w:p>
    <w:p w:rsidR="00D96478" w:rsidRPr="00A85917" w:rsidRDefault="00D96478" w:rsidP="00D96478">
      <w:pPr>
        <w:pStyle w:val="Textoindependiente3"/>
        <w:spacing w:after="0"/>
        <w:rPr>
          <w:rFonts w:ascii="Tahoma" w:hAnsi="Tahoma" w:cs="Tahoma"/>
          <w:i/>
          <w:sz w:val="23"/>
          <w:szCs w:val="23"/>
          <w:lang w:val="es-ES"/>
        </w:rPr>
      </w:pPr>
    </w:p>
    <w:p w:rsidR="00D96478" w:rsidRPr="00A85917" w:rsidRDefault="00D96478" w:rsidP="00D96478">
      <w:pPr>
        <w:pStyle w:val="Textoindependiente3"/>
        <w:spacing w:after="0"/>
        <w:ind w:left="5387"/>
        <w:jc w:val="both"/>
        <w:rPr>
          <w:rFonts w:ascii="Tahoma" w:hAnsi="Tahoma" w:cs="Tahoma"/>
          <w:b/>
          <w:sz w:val="23"/>
          <w:szCs w:val="23"/>
        </w:rPr>
      </w:pPr>
      <w:r w:rsidRPr="00A85917">
        <w:rPr>
          <w:rFonts w:ascii="Tahoma" w:hAnsi="Tahoma" w:cs="Tahoma"/>
          <w:b/>
          <w:sz w:val="23"/>
          <w:szCs w:val="23"/>
        </w:rPr>
        <w:t>Lima,</w:t>
      </w:r>
      <w:r w:rsidR="00EE21EC">
        <w:rPr>
          <w:rFonts w:ascii="Tahoma" w:hAnsi="Tahoma" w:cs="Tahoma"/>
          <w:b/>
          <w:sz w:val="23"/>
          <w:szCs w:val="23"/>
        </w:rPr>
        <w:t xml:space="preserve"> 14 de Abril de 2011</w:t>
      </w:r>
    </w:p>
    <w:p w:rsidR="00D96478" w:rsidRPr="00A85917" w:rsidRDefault="00D96478" w:rsidP="00D96478">
      <w:pPr>
        <w:pStyle w:val="Textoindependiente3"/>
        <w:spacing w:after="0"/>
        <w:ind w:left="5387"/>
        <w:jc w:val="both"/>
        <w:rPr>
          <w:rFonts w:ascii="Tahoma" w:hAnsi="Tahoma" w:cs="Tahoma"/>
          <w:b/>
          <w:sz w:val="23"/>
          <w:szCs w:val="23"/>
        </w:rPr>
      </w:pPr>
    </w:p>
    <w:p w:rsidR="00D96478" w:rsidRPr="00D96478" w:rsidRDefault="00D96478" w:rsidP="00D96478">
      <w:pPr>
        <w:ind w:firstLine="567"/>
        <w:contextualSpacing/>
        <w:jc w:val="both"/>
        <w:rPr>
          <w:rFonts w:ascii="Tahoma" w:hAnsi="Tahoma" w:cs="Tahoma"/>
          <w:i/>
          <w:sz w:val="22"/>
          <w:szCs w:val="22"/>
        </w:rPr>
      </w:pPr>
      <w:r w:rsidRPr="00D96478">
        <w:rPr>
          <w:rFonts w:ascii="Tahoma" w:hAnsi="Tahoma" w:cs="Tahoma"/>
          <w:b/>
          <w:sz w:val="23"/>
          <w:szCs w:val="23"/>
        </w:rPr>
        <w:t xml:space="preserve">Visto </w:t>
      </w:r>
      <w:r w:rsidRPr="00D96478">
        <w:rPr>
          <w:rFonts w:ascii="Tahoma" w:hAnsi="Tahoma" w:cs="Tahoma"/>
          <w:sz w:val="23"/>
          <w:szCs w:val="23"/>
        </w:rPr>
        <w:t xml:space="preserve">en sesión de fecha 14 de abril del 2011 la Primera Sala del Tribunal de Contrataciones del Estado el Expediente N° 1588.2010-TC; sobre el procedimiento administrativo sancionador iniciado contra </w:t>
      </w:r>
      <w:r w:rsidRPr="00D96478">
        <w:rPr>
          <w:rFonts w:ascii="Tahoma" w:hAnsi="Tahoma" w:cs="Tahoma"/>
          <w:sz w:val="22"/>
          <w:szCs w:val="22"/>
        </w:rPr>
        <w:t>la empresa J.PALACIOS RABANAL SOCIEDAD COMERCIAL DE RESPONSABILIDAD LIMITADA</w:t>
      </w:r>
      <w:r w:rsidRPr="00D96478">
        <w:rPr>
          <w:rFonts w:ascii="Tahoma" w:hAnsi="Tahoma" w:cs="Tahoma"/>
          <w:sz w:val="23"/>
          <w:szCs w:val="23"/>
        </w:rPr>
        <w:t xml:space="preserve">, </w:t>
      </w:r>
      <w:r w:rsidRPr="00D96478">
        <w:rPr>
          <w:rFonts w:ascii="Tahoma" w:eastAsia="MS Mincho" w:hAnsi="Tahoma" w:cs="Tahoma"/>
          <w:sz w:val="23"/>
          <w:szCs w:val="23"/>
        </w:rPr>
        <w:t xml:space="preserve">por haber dado lugar a la resolución </w:t>
      </w:r>
      <w:r>
        <w:rPr>
          <w:rFonts w:ascii="Tahoma" w:eastAsia="MS Mincho" w:hAnsi="Tahoma" w:cs="Tahoma"/>
          <w:sz w:val="23"/>
          <w:szCs w:val="23"/>
        </w:rPr>
        <w:t>d</w:t>
      </w:r>
      <w:r w:rsidRPr="00D96478">
        <w:rPr>
          <w:rFonts w:ascii="Tahoma" w:hAnsi="Tahoma" w:cs="Tahoma"/>
          <w:sz w:val="22"/>
          <w:szCs w:val="22"/>
        </w:rPr>
        <w:t>el CONTRATO DE BIENES Nº 028-2010-GR.LAMB “ADQUISICIÓN DE CEMENTO PORTLAND TIPO I”</w:t>
      </w:r>
      <w:r w:rsidRPr="00A85917">
        <w:rPr>
          <w:rFonts w:ascii="Tahoma" w:hAnsi="Tahoma" w:cs="Tahoma"/>
          <w:sz w:val="23"/>
          <w:szCs w:val="23"/>
        </w:rPr>
        <w:t xml:space="preserve">, la cual fue materia de </w:t>
      </w:r>
      <w:r w:rsidRPr="00832CBD">
        <w:rPr>
          <w:rFonts w:ascii="Tahoma" w:hAnsi="Tahoma" w:cs="Tahoma"/>
          <w:sz w:val="22"/>
          <w:szCs w:val="22"/>
        </w:rPr>
        <w:t xml:space="preserve">la </w:t>
      </w:r>
      <w:r>
        <w:rPr>
          <w:rFonts w:ascii="Tahoma" w:hAnsi="Tahoma" w:cs="Tahoma"/>
          <w:sz w:val="22"/>
          <w:szCs w:val="22"/>
        </w:rPr>
        <w:t>Adjudicación de Menor Cuantía por Subasta Inversa Electrónica Nº 009-2010-GR.LAMB</w:t>
      </w:r>
      <w:r w:rsidRPr="00A85917">
        <w:rPr>
          <w:rFonts w:ascii="Tahoma" w:hAnsi="Tahoma" w:cs="Tahoma"/>
          <w:sz w:val="23"/>
          <w:szCs w:val="23"/>
        </w:rPr>
        <w:t>.</w:t>
      </w:r>
    </w:p>
    <w:p w:rsidR="00D96478" w:rsidRPr="00A85917" w:rsidRDefault="00D96478" w:rsidP="00D96478">
      <w:pPr>
        <w:ind w:firstLine="567"/>
        <w:contextualSpacing/>
        <w:jc w:val="both"/>
        <w:rPr>
          <w:rFonts w:ascii="Tahoma" w:hAnsi="Tahoma" w:cs="Tahoma"/>
          <w:b/>
          <w:sz w:val="23"/>
          <w:szCs w:val="23"/>
          <w:lang w:val="es-ES_tradnl"/>
        </w:rPr>
      </w:pPr>
    </w:p>
    <w:p w:rsidR="00D96478" w:rsidRPr="00A85917" w:rsidRDefault="00D96478" w:rsidP="00D96478">
      <w:pPr>
        <w:pStyle w:val="Prrafodelista"/>
        <w:numPr>
          <w:ilvl w:val="0"/>
          <w:numId w:val="1"/>
        </w:numPr>
        <w:ind w:left="567" w:hanging="425"/>
        <w:rPr>
          <w:rFonts w:ascii="Tahoma" w:hAnsi="Tahoma" w:cs="Tahoma"/>
          <w:b/>
          <w:sz w:val="23"/>
          <w:szCs w:val="23"/>
        </w:rPr>
      </w:pPr>
      <w:r w:rsidRPr="00A85917">
        <w:rPr>
          <w:rFonts w:ascii="Tahoma" w:hAnsi="Tahoma" w:cs="Tahoma"/>
          <w:b/>
          <w:sz w:val="23"/>
          <w:szCs w:val="23"/>
        </w:rPr>
        <w:t>ANTECEDENTES:</w:t>
      </w:r>
    </w:p>
    <w:p w:rsidR="00D96478" w:rsidRPr="00A85917" w:rsidRDefault="00D96478" w:rsidP="00D96478">
      <w:pPr>
        <w:jc w:val="both"/>
        <w:rPr>
          <w:rFonts w:ascii="Tahoma" w:hAnsi="Tahoma" w:cs="Tahoma"/>
          <w:b/>
          <w:sz w:val="23"/>
          <w:szCs w:val="23"/>
          <w:lang w:eastAsia="es-PE"/>
        </w:rPr>
      </w:pPr>
    </w:p>
    <w:p w:rsidR="00D96478" w:rsidRPr="00832CBD" w:rsidRDefault="00D96478" w:rsidP="00D96478">
      <w:pPr>
        <w:pStyle w:val="Prrafodelista"/>
        <w:widowControl/>
        <w:numPr>
          <w:ilvl w:val="0"/>
          <w:numId w:val="5"/>
        </w:numPr>
        <w:suppressAutoHyphens w:val="0"/>
        <w:ind w:left="567" w:hanging="567"/>
        <w:contextualSpacing/>
        <w:jc w:val="both"/>
        <w:rPr>
          <w:rFonts w:ascii="Tahoma" w:hAnsi="Tahoma" w:cs="Tahoma"/>
          <w:sz w:val="22"/>
          <w:szCs w:val="22"/>
        </w:rPr>
      </w:pPr>
      <w:r w:rsidRPr="00832CBD">
        <w:rPr>
          <w:rFonts w:ascii="Tahoma" w:hAnsi="Tahoma" w:cs="Tahoma"/>
          <w:sz w:val="22"/>
          <w:szCs w:val="22"/>
        </w:rPr>
        <w:t>C</w:t>
      </w:r>
      <w:r>
        <w:rPr>
          <w:rFonts w:ascii="Tahoma" w:hAnsi="Tahoma" w:cs="Tahoma"/>
          <w:sz w:val="22"/>
          <w:szCs w:val="22"/>
        </w:rPr>
        <w:t>on fecha 16 de abril del 2010</w:t>
      </w:r>
      <w:r w:rsidRPr="00832CBD">
        <w:rPr>
          <w:rFonts w:ascii="Tahoma" w:hAnsi="Tahoma" w:cs="Tahoma"/>
          <w:sz w:val="22"/>
          <w:szCs w:val="22"/>
        </w:rPr>
        <w:t xml:space="preserve">, el </w:t>
      </w:r>
      <w:r w:rsidRPr="00A364D3">
        <w:rPr>
          <w:rFonts w:ascii="Tahoma" w:hAnsi="Tahoma" w:cs="Tahoma"/>
          <w:sz w:val="22"/>
          <w:szCs w:val="22"/>
          <w:lang w:val="es-PE"/>
        </w:rPr>
        <w:t>GOBIERNO REGIONAL DE LAMBAYEQUE</w:t>
      </w:r>
      <w:r w:rsidRPr="00832CBD">
        <w:rPr>
          <w:rFonts w:ascii="Tahoma" w:hAnsi="Tahoma" w:cs="Tahoma"/>
          <w:sz w:val="22"/>
          <w:szCs w:val="22"/>
        </w:rPr>
        <w:t xml:space="preserve">, convocó la </w:t>
      </w:r>
      <w:r>
        <w:rPr>
          <w:rFonts w:ascii="Tahoma" w:hAnsi="Tahoma" w:cs="Tahoma"/>
          <w:sz w:val="22"/>
          <w:szCs w:val="22"/>
        </w:rPr>
        <w:t>Adjudicación de Menor Cuantía por Subasta Inversa Electrónica Nº 009-2010-GR.LAMB</w:t>
      </w:r>
      <w:r w:rsidRPr="00832CBD">
        <w:rPr>
          <w:rFonts w:ascii="Tahoma" w:hAnsi="Tahoma" w:cs="Tahoma"/>
          <w:sz w:val="22"/>
          <w:szCs w:val="22"/>
          <w:lang w:val="pt-PT"/>
        </w:rPr>
        <w:t>,</w:t>
      </w:r>
      <w:r w:rsidRPr="00832CBD">
        <w:rPr>
          <w:rFonts w:ascii="Tahoma" w:hAnsi="Tahoma" w:cs="Tahoma"/>
          <w:sz w:val="22"/>
          <w:szCs w:val="22"/>
        </w:rPr>
        <w:t xml:space="preserve"> para </w:t>
      </w:r>
      <w:r>
        <w:rPr>
          <w:rFonts w:ascii="Tahoma" w:hAnsi="Tahoma" w:cs="Tahoma"/>
          <w:sz w:val="22"/>
          <w:szCs w:val="22"/>
        </w:rPr>
        <w:t>la “Adquisición de cemento portland tipo I”</w:t>
      </w:r>
      <w:r w:rsidRPr="00832CBD">
        <w:rPr>
          <w:rFonts w:ascii="Tahoma" w:hAnsi="Tahoma" w:cs="Tahoma"/>
          <w:sz w:val="22"/>
          <w:szCs w:val="22"/>
        </w:rPr>
        <w:t>, por un valor referencial</w:t>
      </w:r>
      <w:r>
        <w:rPr>
          <w:rFonts w:ascii="Tahoma" w:hAnsi="Tahoma" w:cs="Tahoma"/>
          <w:sz w:val="22"/>
          <w:szCs w:val="22"/>
        </w:rPr>
        <w:t xml:space="preserve"> ascendente a S/. 307,840.00</w:t>
      </w:r>
      <w:r w:rsidRPr="00832CBD">
        <w:rPr>
          <w:rFonts w:ascii="Tahoma" w:hAnsi="Tahoma" w:cs="Tahoma"/>
          <w:sz w:val="22"/>
          <w:szCs w:val="22"/>
        </w:rPr>
        <w:t xml:space="preserve"> (</w:t>
      </w:r>
      <w:r>
        <w:rPr>
          <w:rFonts w:ascii="Tahoma" w:hAnsi="Tahoma" w:cs="Tahoma"/>
          <w:sz w:val="22"/>
          <w:szCs w:val="22"/>
        </w:rPr>
        <w:t>Trescientos siete mil ochocientos Cuarenta y 00/100</w:t>
      </w:r>
      <w:r w:rsidRPr="00832CBD">
        <w:rPr>
          <w:rFonts w:ascii="Tahoma" w:hAnsi="Tahoma" w:cs="Tahoma"/>
          <w:sz w:val="22"/>
          <w:szCs w:val="22"/>
        </w:rPr>
        <w:t xml:space="preserve"> Nuevos Soles).</w:t>
      </w:r>
    </w:p>
    <w:p w:rsidR="00D96478" w:rsidRPr="00832CBD" w:rsidRDefault="00D96478" w:rsidP="00D96478">
      <w:pPr>
        <w:pStyle w:val="Prrafodelista"/>
        <w:ind w:left="567"/>
        <w:contextualSpacing/>
        <w:jc w:val="both"/>
        <w:rPr>
          <w:rFonts w:ascii="Tahoma" w:hAnsi="Tahoma" w:cs="Tahoma"/>
          <w:sz w:val="22"/>
          <w:szCs w:val="22"/>
        </w:rPr>
      </w:pPr>
    </w:p>
    <w:p w:rsidR="00D96478" w:rsidRPr="00832CBD" w:rsidRDefault="00D96478" w:rsidP="00D96478">
      <w:pPr>
        <w:pStyle w:val="Prrafodelista"/>
        <w:widowControl/>
        <w:numPr>
          <w:ilvl w:val="0"/>
          <w:numId w:val="5"/>
        </w:numPr>
        <w:suppressAutoHyphens w:val="0"/>
        <w:ind w:left="567" w:hanging="567"/>
        <w:contextualSpacing/>
        <w:jc w:val="both"/>
        <w:rPr>
          <w:rFonts w:ascii="Tahoma" w:hAnsi="Tahoma" w:cs="Tahoma"/>
          <w:sz w:val="22"/>
          <w:szCs w:val="22"/>
        </w:rPr>
      </w:pPr>
      <w:r>
        <w:rPr>
          <w:rFonts w:ascii="Tahoma" w:hAnsi="Tahoma" w:cs="Tahoma"/>
          <w:sz w:val="22"/>
          <w:szCs w:val="22"/>
        </w:rPr>
        <w:t>El 27 de abril del 2010</w:t>
      </w:r>
      <w:r w:rsidRPr="00832CBD">
        <w:rPr>
          <w:rFonts w:ascii="Tahoma" w:hAnsi="Tahoma" w:cs="Tahoma"/>
          <w:sz w:val="22"/>
          <w:szCs w:val="22"/>
        </w:rPr>
        <w:t xml:space="preserve">, se otorgó la Buena Pro del referido proceso de selección, a favor de la empresa </w:t>
      </w:r>
      <w:r w:rsidRPr="00A364D3">
        <w:rPr>
          <w:rFonts w:ascii="Tahoma" w:hAnsi="Tahoma" w:cs="Tahoma"/>
          <w:sz w:val="22"/>
          <w:szCs w:val="22"/>
        </w:rPr>
        <w:t>J.PALACIOS RABANAL SOCIEDAD COMERCIAL DE RESPONSABILIDAD LIMITADA (J.PALACIOS RABANAL S.R.L.),</w:t>
      </w:r>
      <w:r w:rsidRPr="00832CBD">
        <w:rPr>
          <w:rFonts w:ascii="Tahoma" w:hAnsi="Tahoma" w:cs="Tahoma"/>
          <w:sz w:val="22"/>
          <w:szCs w:val="22"/>
        </w:rPr>
        <w:t xml:space="preserve"> en adelante la Contratista.</w:t>
      </w:r>
    </w:p>
    <w:p w:rsidR="00D96478" w:rsidRPr="00832CBD" w:rsidRDefault="00D96478" w:rsidP="00D96478">
      <w:pPr>
        <w:pStyle w:val="Prrafodelista"/>
        <w:ind w:left="567"/>
        <w:contextualSpacing/>
        <w:jc w:val="both"/>
        <w:rPr>
          <w:rFonts w:ascii="Tahoma" w:hAnsi="Tahoma" w:cs="Tahoma"/>
          <w:sz w:val="22"/>
          <w:szCs w:val="22"/>
        </w:rPr>
      </w:pPr>
    </w:p>
    <w:p w:rsidR="00D96478" w:rsidRPr="00832CBD" w:rsidRDefault="00D96478" w:rsidP="00D96478">
      <w:pPr>
        <w:pStyle w:val="Prrafodelista"/>
        <w:widowControl/>
        <w:numPr>
          <w:ilvl w:val="0"/>
          <w:numId w:val="5"/>
        </w:numPr>
        <w:suppressAutoHyphens w:val="0"/>
        <w:ind w:left="567" w:hanging="567"/>
        <w:contextualSpacing/>
        <w:jc w:val="both"/>
        <w:rPr>
          <w:rFonts w:ascii="Tahoma" w:hAnsi="Tahoma" w:cs="Tahoma"/>
          <w:i/>
          <w:sz w:val="22"/>
          <w:szCs w:val="22"/>
        </w:rPr>
      </w:pPr>
      <w:r>
        <w:rPr>
          <w:rFonts w:ascii="Tahoma" w:hAnsi="Tahoma" w:cs="Tahoma"/>
          <w:sz w:val="22"/>
          <w:szCs w:val="22"/>
        </w:rPr>
        <w:t>El 17 de mayo del 2010</w:t>
      </w:r>
      <w:r w:rsidRPr="00832CBD">
        <w:rPr>
          <w:rFonts w:ascii="Tahoma" w:hAnsi="Tahoma" w:cs="Tahoma"/>
          <w:sz w:val="22"/>
          <w:szCs w:val="22"/>
        </w:rPr>
        <w:t>, la Entidad y la Contratist</w:t>
      </w:r>
      <w:r>
        <w:rPr>
          <w:rFonts w:ascii="Tahoma" w:hAnsi="Tahoma" w:cs="Tahoma"/>
          <w:sz w:val="22"/>
          <w:szCs w:val="22"/>
        </w:rPr>
        <w:t>a suscribieron el CONTRATO DE BIENES Nº 028-2010-GR.LAMB “ADQUISICIÓN DE CEMENTO PORTLAND TIPO I”.</w:t>
      </w:r>
    </w:p>
    <w:p w:rsidR="00D96478" w:rsidRPr="00832CBD" w:rsidRDefault="00D96478" w:rsidP="00D96478">
      <w:pPr>
        <w:pStyle w:val="Prrafodelista"/>
        <w:rPr>
          <w:rFonts w:ascii="Tahoma" w:hAnsi="Tahoma" w:cs="Tahoma"/>
          <w:i/>
          <w:sz w:val="22"/>
          <w:szCs w:val="22"/>
        </w:rPr>
      </w:pPr>
    </w:p>
    <w:p w:rsidR="00D96478" w:rsidRPr="007B743F" w:rsidRDefault="00D96478" w:rsidP="00D96478">
      <w:pPr>
        <w:pStyle w:val="Prrafodelista"/>
        <w:widowControl/>
        <w:numPr>
          <w:ilvl w:val="0"/>
          <w:numId w:val="5"/>
        </w:numPr>
        <w:suppressAutoHyphens w:val="0"/>
        <w:ind w:left="567" w:hanging="567"/>
        <w:contextualSpacing/>
        <w:jc w:val="both"/>
        <w:rPr>
          <w:rFonts w:ascii="Tahoma" w:hAnsi="Tahoma" w:cs="Tahoma"/>
          <w:i/>
          <w:sz w:val="22"/>
          <w:szCs w:val="22"/>
        </w:rPr>
      </w:pPr>
      <w:r>
        <w:rPr>
          <w:rFonts w:ascii="Tahoma" w:hAnsi="Tahoma" w:cs="Tahoma"/>
          <w:sz w:val="22"/>
          <w:szCs w:val="22"/>
        </w:rPr>
        <w:t>A través del Oficio Nº 637-2010-GR.LAMB/ORAD-OABAS de fecha 14 de junio del 2010, la Entidad remitió a la Contratista el cronograma de abastecimiento de cemento</w:t>
      </w:r>
      <w:r w:rsidRPr="00832CBD">
        <w:rPr>
          <w:rFonts w:ascii="Tahoma" w:hAnsi="Tahoma" w:cs="Tahoma"/>
          <w:sz w:val="22"/>
          <w:szCs w:val="22"/>
        </w:rPr>
        <w:t>.</w:t>
      </w:r>
    </w:p>
    <w:p w:rsidR="00D96478" w:rsidRPr="007B743F" w:rsidRDefault="00D96478" w:rsidP="00D96478">
      <w:pPr>
        <w:pStyle w:val="Prrafodelista"/>
        <w:rPr>
          <w:rFonts w:ascii="Tahoma" w:hAnsi="Tahoma" w:cs="Tahoma"/>
          <w:i/>
          <w:sz w:val="22"/>
          <w:szCs w:val="22"/>
        </w:rPr>
      </w:pPr>
    </w:p>
    <w:p w:rsidR="00D96478" w:rsidRPr="007B743F" w:rsidRDefault="00D96478" w:rsidP="00D96478">
      <w:pPr>
        <w:pStyle w:val="Prrafodelista"/>
        <w:widowControl/>
        <w:numPr>
          <w:ilvl w:val="0"/>
          <w:numId w:val="5"/>
        </w:numPr>
        <w:suppressAutoHyphens w:val="0"/>
        <w:ind w:left="567" w:hanging="567"/>
        <w:contextualSpacing/>
        <w:jc w:val="both"/>
        <w:rPr>
          <w:rFonts w:ascii="Tahoma" w:hAnsi="Tahoma" w:cs="Tahoma"/>
          <w:sz w:val="22"/>
          <w:szCs w:val="22"/>
        </w:rPr>
      </w:pPr>
      <w:r w:rsidRPr="007B743F">
        <w:rPr>
          <w:rFonts w:ascii="Tahoma" w:hAnsi="Tahoma" w:cs="Tahoma"/>
          <w:sz w:val="22"/>
          <w:szCs w:val="22"/>
        </w:rPr>
        <w:t xml:space="preserve">Con carta de fecha </w:t>
      </w:r>
      <w:r>
        <w:rPr>
          <w:rFonts w:ascii="Tahoma" w:hAnsi="Tahoma" w:cs="Tahoma"/>
          <w:sz w:val="22"/>
          <w:szCs w:val="22"/>
        </w:rPr>
        <w:t xml:space="preserve">11-2010-JPRSRL de fecha 14 de junio del 2010, la Contratista informó a la Entidad que el cemento Portland tipo 1 ha subido de precio en fábrica a la suma de treinta y cinco céntimos de sol S/. 0.35 por bolsa, lo cual según el reglamento de la Ley de Contrataciones del Estado, al haberse incrementado el precio del producto según INEI se debería aplicar el reajuste de </w:t>
      </w:r>
      <w:r>
        <w:rPr>
          <w:rFonts w:ascii="Tahoma" w:hAnsi="Tahoma" w:cs="Tahoma"/>
          <w:sz w:val="22"/>
          <w:szCs w:val="22"/>
        </w:rPr>
        <w:lastRenderedPageBreak/>
        <w:t>precios, habiendo que modificar el contrato o en caso contrario hacer una adenda, por que cuando se suscribió el contrato el precio estaba a S/. 19.11 cada bolsa de cemento y, ahora, con el alza sería el precio justo de S/. 19.46 cada bolsa de cemento Portland tipo 1.</w:t>
      </w:r>
    </w:p>
    <w:p w:rsidR="00D96478" w:rsidRPr="007B743F" w:rsidRDefault="00D96478" w:rsidP="00D96478">
      <w:pPr>
        <w:pStyle w:val="Prrafodelista"/>
        <w:rPr>
          <w:rFonts w:ascii="Tahoma" w:hAnsi="Tahoma" w:cs="Tahoma"/>
          <w:sz w:val="22"/>
          <w:szCs w:val="22"/>
        </w:rPr>
      </w:pPr>
    </w:p>
    <w:p w:rsidR="00D96478" w:rsidRPr="00B20DD8" w:rsidRDefault="00D96478" w:rsidP="00D96478">
      <w:pPr>
        <w:pStyle w:val="Prrafodelista"/>
        <w:widowControl/>
        <w:numPr>
          <w:ilvl w:val="0"/>
          <w:numId w:val="5"/>
        </w:numPr>
        <w:suppressAutoHyphens w:val="0"/>
        <w:ind w:left="567" w:hanging="567"/>
        <w:contextualSpacing/>
        <w:jc w:val="both"/>
        <w:rPr>
          <w:rFonts w:ascii="Tahoma" w:hAnsi="Tahoma" w:cs="Tahoma"/>
          <w:i/>
          <w:sz w:val="22"/>
          <w:szCs w:val="22"/>
        </w:rPr>
      </w:pPr>
      <w:r>
        <w:rPr>
          <w:rFonts w:ascii="Tahoma" w:hAnsi="Tahoma" w:cs="Tahoma"/>
          <w:sz w:val="22"/>
          <w:szCs w:val="22"/>
        </w:rPr>
        <w:t>Con Carta Nº 011-2010-J.P.R.S.R.L. presentado ante la Entidad el 18 de junio del 2010, la Contratista solicitó el adelanto de pago del valor de las bolsas de cemento requeridos, de conformidad al artículo 37 de la Ley de Contrataciones del Estado, sin previa garantía, tal como lo establece el quinto párrafo del artículo 39 de dicha ley, considerando que es una microempresa.</w:t>
      </w:r>
    </w:p>
    <w:p w:rsidR="00D96478" w:rsidRPr="002A795A" w:rsidRDefault="00D96478" w:rsidP="00D96478">
      <w:pPr>
        <w:rPr>
          <w:rFonts w:ascii="Tahoma" w:hAnsi="Tahoma" w:cs="Tahoma"/>
          <w:i/>
          <w:sz w:val="22"/>
          <w:szCs w:val="22"/>
        </w:rPr>
      </w:pPr>
    </w:p>
    <w:p w:rsidR="00D96478" w:rsidRPr="002A795A" w:rsidRDefault="00D96478" w:rsidP="00D96478">
      <w:pPr>
        <w:pStyle w:val="Prrafodelista"/>
        <w:ind w:left="567"/>
        <w:contextualSpacing/>
        <w:jc w:val="both"/>
        <w:rPr>
          <w:rFonts w:ascii="Tahoma" w:hAnsi="Tahoma" w:cs="Tahoma"/>
          <w:sz w:val="22"/>
          <w:szCs w:val="22"/>
        </w:rPr>
      </w:pPr>
      <w:r>
        <w:rPr>
          <w:rFonts w:ascii="Tahoma" w:hAnsi="Tahoma" w:cs="Tahoma"/>
          <w:sz w:val="22"/>
          <w:szCs w:val="22"/>
        </w:rPr>
        <w:t>Asimismo, al Contratista señaló que después de girado el adelanto respectivo, se comprometió que dentro de las 48 horas entregarán el cemento requerido, siendo así la única forma de poder cumplir lo pactado.</w:t>
      </w:r>
    </w:p>
    <w:p w:rsidR="00D96478" w:rsidRDefault="00D96478" w:rsidP="00D96478">
      <w:pPr>
        <w:pStyle w:val="Prrafodelista"/>
        <w:jc w:val="both"/>
        <w:rPr>
          <w:rFonts w:ascii="Tahoma" w:hAnsi="Tahoma" w:cs="Tahoma"/>
          <w:sz w:val="22"/>
          <w:szCs w:val="22"/>
        </w:rPr>
      </w:pPr>
    </w:p>
    <w:p w:rsidR="00D96478" w:rsidRPr="002A795A" w:rsidRDefault="00D96478" w:rsidP="00D96478">
      <w:pPr>
        <w:pStyle w:val="Prrafodelista"/>
        <w:widowControl/>
        <w:numPr>
          <w:ilvl w:val="0"/>
          <w:numId w:val="5"/>
        </w:numPr>
        <w:suppressAutoHyphens w:val="0"/>
        <w:ind w:left="567" w:hanging="567"/>
        <w:contextualSpacing/>
        <w:jc w:val="both"/>
        <w:rPr>
          <w:rFonts w:ascii="Tahoma" w:hAnsi="Tahoma" w:cs="Tahoma"/>
          <w:i/>
          <w:sz w:val="22"/>
          <w:szCs w:val="22"/>
        </w:rPr>
      </w:pPr>
      <w:r>
        <w:rPr>
          <w:rFonts w:ascii="Tahoma" w:hAnsi="Tahoma" w:cs="Tahoma"/>
          <w:sz w:val="22"/>
          <w:szCs w:val="22"/>
        </w:rPr>
        <w:t>Mediante Carta Nº 012-2010-J.P.R.S.R.L. de fecha 21 de junio del 2010, la Contratista informó a la Entidad estar dispuesto a realizar una conciliación con respecto al delante de pago solamente de cada requerimiento de cemento que realice, previamente a la resolución del CONTRATO DE BIENES Nº 028-2010-GR.LAMB “ADQUISICIÓN DE CEMENTO PORTLAND TIPO I”.</w:t>
      </w:r>
    </w:p>
    <w:p w:rsidR="00D96478" w:rsidRPr="002A795A" w:rsidRDefault="00D96478" w:rsidP="00D96478">
      <w:pPr>
        <w:pStyle w:val="Prrafodelista"/>
        <w:ind w:left="567"/>
        <w:contextualSpacing/>
        <w:jc w:val="both"/>
        <w:rPr>
          <w:rFonts w:ascii="Tahoma" w:hAnsi="Tahoma" w:cs="Tahoma"/>
          <w:i/>
          <w:sz w:val="22"/>
          <w:szCs w:val="22"/>
        </w:rPr>
      </w:pPr>
    </w:p>
    <w:p w:rsidR="00D96478" w:rsidRPr="007B743F" w:rsidRDefault="00D96478" w:rsidP="00D96478">
      <w:pPr>
        <w:pStyle w:val="Prrafodelista"/>
        <w:widowControl/>
        <w:numPr>
          <w:ilvl w:val="0"/>
          <w:numId w:val="5"/>
        </w:numPr>
        <w:suppressAutoHyphens w:val="0"/>
        <w:ind w:left="567" w:hanging="567"/>
        <w:contextualSpacing/>
        <w:jc w:val="both"/>
        <w:rPr>
          <w:rFonts w:ascii="Tahoma" w:hAnsi="Tahoma" w:cs="Tahoma"/>
          <w:i/>
          <w:sz w:val="22"/>
          <w:szCs w:val="22"/>
        </w:rPr>
      </w:pPr>
      <w:r>
        <w:rPr>
          <w:rFonts w:ascii="Tahoma" w:hAnsi="Tahoma" w:cs="Tahoma"/>
          <w:sz w:val="22"/>
          <w:szCs w:val="22"/>
        </w:rPr>
        <w:t>A través del Oficio Nº 415-2010-GR.LAMB.ORAJ de fecha 23 de junio del 2010, la Entidad informó a la Contratista que el artículo 162 del Reglamento de la Ley de Contrataciones del Estado establece la obligación del Contratista de presentar su Carta Fianza de Garantía por adelantos, que en su primer párrafo establece que la presentación de dicha garantía no puede ser exceptuada en ningún caso, por lo que el pedido de exoneración para su presentación, resulta improcedente.</w:t>
      </w:r>
    </w:p>
    <w:p w:rsidR="00D96478" w:rsidRPr="007B743F" w:rsidRDefault="00D96478" w:rsidP="00D96478">
      <w:pPr>
        <w:pStyle w:val="Prrafodelista"/>
        <w:rPr>
          <w:rFonts w:ascii="Tahoma" w:hAnsi="Tahoma" w:cs="Tahoma"/>
          <w:i/>
          <w:sz w:val="22"/>
          <w:szCs w:val="22"/>
        </w:rPr>
      </w:pPr>
    </w:p>
    <w:p w:rsidR="00D96478" w:rsidRDefault="00D96478" w:rsidP="00D96478">
      <w:pPr>
        <w:pStyle w:val="Prrafodelista"/>
        <w:widowControl/>
        <w:numPr>
          <w:ilvl w:val="0"/>
          <w:numId w:val="5"/>
        </w:numPr>
        <w:suppressAutoHyphens w:val="0"/>
        <w:ind w:left="567" w:hanging="567"/>
        <w:contextualSpacing/>
        <w:jc w:val="both"/>
        <w:rPr>
          <w:rFonts w:ascii="Tahoma" w:hAnsi="Tahoma" w:cs="Tahoma"/>
          <w:sz w:val="22"/>
          <w:szCs w:val="22"/>
        </w:rPr>
      </w:pPr>
      <w:r>
        <w:rPr>
          <w:rFonts w:ascii="Tahoma" w:hAnsi="Tahoma" w:cs="Tahoma"/>
          <w:sz w:val="22"/>
          <w:szCs w:val="22"/>
        </w:rPr>
        <w:t>A través de la Carta Notarial Nº 1077 diligenciada notarialmente el 08 de julio del 2010, la Entidad comunicó a la Contratista lo siguiente:</w:t>
      </w:r>
    </w:p>
    <w:p w:rsidR="00D96478" w:rsidRPr="00FE5B6B" w:rsidRDefault="00D96478" w:rsidP="00D96478">
      <w:pPr>
        <w:rPr>
          <w:rFonts w:ascii="Tahoma" w:hAnsi="Tahoma" w:cs="Tahoma"/>
          <w:sz w:val="22"/>
          <w:szCs w:val="22"/>
        </w:rPr>
      </w:pPr>
    </w:p>
    <w:p w:rsidR="00D96478" w:rsidRPr="004D15B6" w:rsidRDefault="00D96478" w:rsidP="00D96478">
      <w:pPr>
        <w:pStyle w:val="Prrafodelista"/>
        <w:ind w:left="851" w:right="282"/>
        <w:contextualSpacing/>
        <w:jc w:val="both"/>
        <w:rPr>
          <w:rFonts w:ascii="Tahoma" w:hAnsi="Tahoma" w:cs="Tahoma"/>
          <w:i/>
          <w:sz w:val="18"/>
          <w:szCs w:val="18"/>
        </w:rPr>
      </w:pPr>
      <w:r w:rsidRPr="004D15B6">
        <w:rPr>
          <w:rFonts w:ascii="Tahoma" w:hAnsi="Tahoma" w:cs="Tahoma"/>
          <w:i/>
          <w:sz w:val="18"/>
          <w:szCs w:val="18"/>
        </w:rPr>
        <w:t>ASUNTO: Sobre resolución de Contrato</w:t>
      </w:r>
    </w:p>
    <w:p w:rsidR="00D96478" w:rsidRDefault="00D96478" w:rsidP="00D96478">
      <w:pPr>
        <w:pStyle w:val="Prrafodelista"/>
        <w:ind w:left="851" w:right="282"/>
        <w:contextualSpacing/>
        <w:jc w:val="both"/>
        <w:rPr>
          <w:rFonts w:ascii="Tahoma" w:hAnsi="Tahoma" w:cs="Tahoma"/>
          <w:i/>
          <w:sz w:val="18"/>
          <w:szCs w:val="18"/>
        </w:rPr>
      </w:pPr>
    </w:p>
    <w:p w:rsidR="00D96478" w:rsidRPr="004D15B6" w:rsidRDefault="00D96478" w:rsidP="00D96478">
      <w:pPr>
        <w:pStyle w:val="Prrafodelista"/>
        <w:ind w:left="851" w:right="282"/>
        <w:contextualSpacing/>
        <w:jc w:val="both"/>
        <w:rPr>
          <w:rFonts w:ascii="Tahoma" w:hAnsi="Tahoma" w:cs="Tahoma"/>
          <w:i/>
          <w:sz w:val="18"/>
          <w:szCs w:val="18"/>
        </w:rPr>
      </w:pPr>
      <w:r w:rsidRPr="004D15B6">
        <w:rPr>
          <w:rFonts w:ascii="Tahoma" w:hAnsi="Tahoma" w:cs="Tahoma"/>
          <w:i/>
          <w:sz w:val="18"/>
          <w:szCs w:val="18"/>
        </w:rPr>
        <w:t xml:space="preserve">A.M.C. por Subasta Inversa Electrónica </w:t>
      </w:r>
    </w:p>
    <w:p w:rsidR="00D96478" w:rsidRPr="004D15B6" w:rsidRDefault="00D96478" w:rsidP="00D96478">
      <w:pPr>
        <w:pStyle w:val="Prrafodelista"/>
        <w:ind w:left="851" w:right="282"/>
        <w:contextualSpacing/>
        <w:jc w:val="both"/>
        <w:rPr>
          <w:rFonts w:ascii="Tahoma" w:hAnsi="Tahoma" w:cs="Tahoma"/>
          <w:i/>
          <w:sz w:val="18"/>
          <w:szCs w:val="18"/>
        </w:rPr>
      </w:pPr>
    </w:p>
    <w:p w:rsidR="00D96478" w:rsidRPr="004D15B6" w:rsidRDefault="00D96478" w:rsidP="00D96478">
      <w:pPr>
        <w:pStyle w:val="Prrafodelista"/>
        <w:ind w:left="851" w:right="282"/>
        <w:jc w:val="both"/>
        <w:rPr>
          <w:rFonts w:ascii="Tahoma" w:hAnsi="Tahoma" w:cs="Tahoma"/>
          <w:i/>
          <w:sz w:val="18"/>
          <w:szCs w:val="18"/>
        </w:rPr>
      </w:pPr>
      <w:r w:rsidRPr="004D15B6">
        <w:rPr>
          <w:rFonts w:ascii="Tahoma" w:hAnsi="Tahoma" w:cs="Tahoma"/>
          <w:i/>
          <w:sz w:val="18"/>
          <w:szCs w:val="18"/>
        </w:rPr>
        <w:t>REFERENCIA: Carta Nº 013-2010-J.P.R.S.R.L. 01 JUL 2010</w:t>
      </w:r>
    </w:p>
    <w:p w:rsidR="00D96478" w:rsidRPr="004D15B6" w:rsidRDefault="00D96478" w:rsidP="00D96478">
      <w:pPr>
        <w:pStyle w:val="Prrafodelista"/>
        <w:ind w:left="851" w:right="282"/>
        <w:jc w:val="both"/>
        <w:rPr>
          <w:rFonts w:ascii="Tahoma" w:hAnsi="Tahoma" w:cs="Tahoma"/>
          <w:i/>
          <w:sz w:val="18"/>
          <w:szCs w:val="18"/>
        </w:rPr>
      </w:pPr>
    </w:p>
    <w:p w:rsidR="00D96478" w:rsidRPr="004D15B6" w:rsidRDefault="00D96478" w:rsidP="00D96478">
      <w:pPr>
        <w:pStyle w:val="Prrafodelista"/>
        <w:ind w:left="851" w:right="282"/>
        <w:jc w:val="both"/>
        <w:rPr>
          <w:rFonts w:ascii="Tahoma" w:hAnsi="Tahoma" w:cs="Tahoma"/>
          <w:i/>
          <w:sz w:val="18"/>
          <w:szCs w:val="18"/>
        </w:rPr>
      </w:pPr>
      <w:r w:rsidRPr="004D15B6">
        <w:rPr>
          <w:rFonts w:ascii="Tahoma" w:hAnsi="Tahoma" w:cs="Tahoma"/>
          <w:i/>
          <w:sz w:val="18"/>
          <w:szCs w:val="18"/>
        </w:rPr>
        <w:t>De nuestra consideración:</w:t>
      </w:r>
    </w:p>
    <w:p w:rsidR="00D96478" w:rsidRPr="004D15B6" w:rsidRDefault="00D96478" w:rsidP="00D96478">
      <w:pPr>
        <w:pStyle w:val="Prrafodelista"/>
        <w:ind w:left="851" w:right="282"/>
        <w:jc w:val="both"/>
        <w:rPr>
          <w:rFonts w:ascii="Tahoma" w:hAnsi="Tahoma" w:cs="Tahoma"/>
          <w:i/>
          <w:sz w:val="18"/>
          <w:szCs w:val="18"/>
        </w:rPr>
      </w:pPr>
    </w:p>
    <w:p w:rsidR="00D96478" w:rsidRPr="004D15B6" w:rsidRDefault="00D96478" w:rsidP="00D96478">
      <w:pPr>
        <w:pStyle w:val="Prrafodelista"/>
        <w:ind w:left="851" w:right="282"/>
        <w:jc w:val="both"/>
        <w:rPr>
          <w:rFonts w:ascii="Tahoma" w:hAnsi="Tahoma" w:cs="Tahoma"/>
          <w:i/>
          <w:sz w:val="18"/>
          <w:szCs w:val="18"/>
        </w:rPr>
      </w:pPr>
      <w:r w:rsidRPr="004D15B6">
        <w:rPr>
          <w:rFonts w:ascii="Tahoma" w:hAnsi="Tahoma" w:cs="Tahoma"/>
          <w:i/>
          <w:sz w:val="18"/>
          <w:szCs w:val="18"/>
        </w:rPr>
        <w:t>Es grato dirigirnos a usted para saludarlo y comunicarle haber recepcionado la carta de la referencia con cual solicita la Resolución del Contrato de Bienes Nº 028-2010-GR.LAMB, “Adquisición de Cemento Portland Tipo I” por haberse declarado improcedente su Carta Nº 11-2010-JPRSRL de fecha 14 de junio 2010, con la que pide el reajuste de precios al haberse incrementado el producto en S/: 0.35 y en la segunda Carta a S/. 0.60.</w:t>
      </w:r>
    </w:p>
    <w:p w:rsidR="00D96478" w:rsidRPr="004D15B6" w:rsidRDefault="00D96478" w:rsidP="00D96478">
      <w:pPr>
        <w:pStyle w:val="Prrafodelista"/>
        <w:ind w:left="851" w:right="282"/>
        <w:jc w:val="both"/>
        <w:rPr>
          <w:rFonts w:ascii="Tahoma" w:hAnsi="Tahoma" w:cs="Tahoma"/>
          <w:i/>
          <w:sz w:val="18"/>
          <w:szCs w:val="18"/>
        </w:rPr>
      </w:pPr>
    </w:p>
    <w:p w:rsidR="00D96478" w:rsidRPr="004D15B6" w:rsidRDefault="00D96478" w:rsidP="00D96478">
      <w:pPr>
        <w:pStyle w:val="Prrafodelista"/>
        <w:ind w:left="851" w:right="282"/>
        <w:jc w:val="both"/>
        <w:rPr>
          <w:rFonts w:ascii="Tahoma" w:hAnsi="Tahoma" w:cs="Tahoma"/>
          <w:i/>
          <w:sz w:val="18"/>
          <w:szCs w:val="18"/>
        </w:rPr>
      </w:pPr>
      <w:r w:rsidRPr="004D15B6">
        <w:rPr>
          <w:rFonts w:ascii="Tahoma" w:hAnsi="Tahoma" w:cs="Tahoma"/>
          <w:i/>
          <w:sz w:val="18"/>
          <w:szCs w:val="18"/>
        </w:rPr>
        <w:lastRenderedPageBreak/>
        <w:t>Sobre el particular en virtud a las Bases del Concurso A.M.C. por subasta Inversa Electrónica Nº 009-2010-GR.LAMB, “Adquisición de Cemento Portland I”, en el punto 1.5 la Entidad determinó que el proceso de selección fuese convocado bajo el sistema de suma alzada, sin que se haya producido objeción alguna al respecto.</w:t>
      </w:r>
    </w:p>
    <w:p w:rsidR="00D96478" w:rsidRPr="004D15B6" w:rsidRDefault="00D96478" w:rsidP="00D96478">
      <w:pPr>
        <w:pStyle w:val="Prrafodelista"/>
        <w:ind w:left="851" w:right="282"/>
        <w:jc w:val="both"/>
        <w:rPr>
          <w:rFonts w:ascii="Tahoma" w:hAnsi="Tahoma" w:cs="Tahoma"/>
          <w:i/>
          <w:sz w:val="18"/>
          <w:szCs w:val="18"/>
        </w:rPr>
      </w:pPr>
      <w:r w:rsidRPr="004D15B6">
        <w:rPr>
          <w:rFonts w:ascii="Tahoma" w:hAnsi="Tahoma" w:cs="Tahoma"/>
          <w:i/>
          <w:sz w:val="18"/>
          <w:szCs w:val="18"/>
        </w:rPr>
        <w:t>(…)</w:t>
      </w:r>
    </w:p>
    <w:p w:rsidR="00D96478" w:rsidRPr="004D15B6" w:rsidRDefault="00D96478" w:rsidP="00D96478">
      <w:pPr>
        <w:pStyle w:val="Prrafodelista"/>
        <w:ind w:left="851" w:right="282"/>
        <w:jc w:val="both"/>
        <w:rPr>
          <w:rFonts w:ascii="Tahoma" w:hAnsi="Tahoma" w:cs="Tahoma"/>
          <w:i/>
          <w:sz w:val="18"/>
          <w:szCs w:val="18"/>
        </w:rPr>
      </w:pPr>
    </w:p>
    <w:p w:rsidR="00D96478" w:rsidRDefault="00D96478" w:rsidP="00D96478">
      <w:pPr>
        <w:pStyle w:val="Prrafodelista"/>
        <w:ind w:left="851" w:right="282"/>
        <w:jc w:val="both"/>
        <w:rPr>
          <w:rFonts w:ascii="Tahoma" w:hAnsi="Tahoma" w:cs="Tahoma"/>
          <w:i/>
          <w:sz w:val="18"/>
          <w:szCs w:val="18"/>
        </w:rPr>
      </w:pPr>
      <w:r w:rsidRPr="004D15B6">
        <w:rPr>
          <w:rFonts w:ascii="Tahoma" w:hAnsi="Tahoma" w:cs="Tahoma"/>
          <w:i/>
          <w:sz w:val="18"/>
          <w:szCs w:val="18"/>
        </w:rPr>
        <w:t>Además si aparece en la Cláusula Cuarta de la “Proforma del Contrato” de las Bases Integradas, que el Contratista como la Entidad se sujetarán al flujo de precios que disponga el mercado nacional y el Ministerio de Energía y Minas, dicha disposición no se refiere a que se tenga que aumentar o bajar el precio del bien, ya que se ha pactado la compra a precio fijo, por lo tanto se entregará la misma cantidad, no interesando el monto económico, de existir reconocimiento a alzas o bajas de precios debió considerarse una fórmula polinómica la que no existe en las Bases Integradas.</w:t>
      </w:r>
    </w:p>
    <w:p w:rsidR="00D96478" w:rsidRPr="004D15B6" w:rsidRDefault="00D96478" w:rsidP="00D96478">
      <w:pPr>
        <w:pStyle w:val="Prrafodelista"/>
        <w:ind w:left="851" w:right="282"/>
        <w:jc w:val="both"/>
        <w:rPr>
          <w:rFonts w:ascii="Tahoma" w:hAnsi="Tahoma" w:cs="Tahoma"/>
          <w:i/>
          <w:sz w:val="18"/>
          <w:szCs w:val="18"/>
        </w:rPr>
      </w:pPr>
    </w:p>
    <w:p w:rsidR="00D96478" w:rsidRPr="004D15B6" w:rsidRDefault="00D96478" w:rsidP="00D96478">
      <w:pPr>
        <w:pStyle w:val="Prrafodelista"/>
        <w:ind w:left="851" w:right="282"/>
        <w:jc w:val="both"/>
        <w:rPr>
          <w:rFonts w:ascii="Tahoma" w:hAnsi="Tahoma" w:cs="Tahoma"/>
          <w:i/>
          <w:sz w:val="18"/>
          <w:szCs w:val="18"/>
        </w:rPr>
      </w:pPr>
      <w:r w:rsidRPr="004D15B6">
        <w:rPr>
          <w:rFonts w:ascii="Tahoma" w:hAnsi="Tahoma" w:cs="Tahoma"/>
          <w:i/>
          <w:sz w:val="18"/>
          <w:szCs w:val="18"/>
        </w:rPr>
        <w:t>Señalamos fehacientemente que nos oponemos a la Resolución del Contrato, propuesta, ya que la Entidad en ningún momento incumple con las normas contenidas en la Ley de Contrataciones del Estado, referentes al incumplimiento del Contrato, por lo que de conformidad al art. 169 del Reglamento, le concedemos 05 días hábiles, para que cumpla con el cronograma pactado, para la entrega del bien, bajo apercibimiento de resolverle el contrato”.</w:t>
      </w:r>
    </w:p>
    <w:p w:rsidR="00D96478" w:rsidRDefault="00D96478" w:rsidP="00D96478">
      <w:pPr>
        <w:pStyle w:val="Prrafodelista"/>
        <w:ind w:left="567"/>
        <w:jc w:val="both"/>
        <w:rPr>
          <w:rFonts w:ascii="Tahoma" w:hAnsi="Tahoma" w:cs="Tahoma"/>
          <w:sz w:val="22"/>
          <w:szCs w:val="22"/>
        </w:rPr>
      </w:pPr>
    </w:p>
    <w:p w:rsidR="00D96478" w:rsidRDefault="00D96478" w:rsidP="00D96478">
      <w:pPr>
        <w:pStyle w:val="Prrafodelista"/>
        <w:widowControl/>
        <w:numPr>
          <w:ilvl w:val="0"/>
          <w:numId w:val="5"/>
        </w:numPr>
        <w:suppressAutoHyphens w:val="0"/>
        <w:ind w:left="567" w:hanging="567"/>
        <w:contextualSpacing/>
        <w:jc w:val="both"/>
        <w:rPr>
          <w:rFonts w:ascii="Tahoma" w:hAnsi="Tahoma" w:cs="Tahoma"/>
          <w:sz w:val="22"/>
          <w:szCs w:val="22"/>
        </w:rPr>
      </w:pPr>
      <w:r>
        <w:rPr>
          <w:rFonts w:ascii="Tahoma" w:hAnsi="Tahoma" w:cs="Tahoma"/>
          <w:sz w:val="22"/>
          <w:szCs w:val="22"/>
        </w:rPr>
        <w:t>A través de la Carta Nº 0142010-J.P.R.S.R.L de fecha 12 de julio del 2010, la Contratista señaló que postuló al proceso de selección al advertir en el anexo Nº 06 Proforma de Contrato en su cláusula cuarta, que “el Contratita como la Entidad están en la obligación de sujetarse al flujo de precios que disponga el mercado nacional y el Ministerio de Energía y Minas, en el caso de variar el precio”, por lo tanto, si bien es cierto el referido proceso se realizó a suma alzada, no es menos cierto que las Bases no contradecían los reajustes que se realizaría por el alza de precios.</w:t>
      </w:r>
    </w:p>
    <w:p w:rsidR="00D96478" w:rsidRDefault="00D96478" w:rsidP="00D96478">
      <w:pPr>
        <w:pStyle w:val="Prrafodelista"/>
        <w:ind w:left="567"/>
        <w:contextualSpacing/>
        <w:jc w:val="both"/>
        <w:rPr>
          <w:rFonts w:ascii="Tahoma" w:hAnsi="Tahoma" w:cs="Tahoma"/>
          <w:sz w:val="22"/>
          <w:szCs w:val="22"/>
        </w:rPr>
      </w:pPr>
    </w:p>
    <w:p w:rsidR="00D96478" w:rsidRDefault="00D96478" w:rsidP="00D96478">
      <w:pPr>
        <w:pStyle w:val="Prrafodelista"/>
        <w:ind w:left="567"/>
        <w:contextualSpacing/>
        <w:jc w:val="both"/>
        <w:rPr>
          <w:rFonts w:ascii="Tahoma" w:hAnsi="Tahoma" w:cs="Tahoma"/>
          <w:sz w:val="22"/>
          <w:szCs w:val="22"/>
        </w:rPr>
      </w:pPr>
      <w:r>
        <w:rPr>
          <w:rFonts w:ascii="Tahoma" w:hAnsi="Tahoma" w:cs="Tahoma"/>
          <w:sz w:val="22"/>
          <w:szCs w:val="22"/>
        </w:rPr>
        <w:t>Asimismo, señaló que no realizó observación alguna, por cuanto las Bases estaban bien definidas al establecerse los reajustes del precio en la proforma del contrato.</w:t>
      </w:r>
    </w:p>
    <w:p w:rsidR="00D96478" w:rsidRPr="00832CBD" w:rsidRDefault="00D96478" w:rsidP="00D96478">
      <w:pPr>
        <w:pStyle w:val="Prrafodelista"/>
        <w:jc w:val="both"/>
        <w:rPr>
          <w:rFonts w:ascii="Tahoma" w:hAnsi="Tahoma" w:cs="Tahoma"/>
          <w:sz w:val="22"/>
          <w:szCs w:val="22"/>
        </w:rPr>
      </w:pPr>
    </w:p>
    <w:p w:rsidR="00D96478" w:rsidRPr="00832CBD" w:rsidRDefault="00D96478" w:rsidP="00D96478">
      <w:pPr>
        <w:pStyle w:val="Prrafodelista"/>
        <w:widowControl/>
        <w:numPr>
          <w:ilvl w:val="0"/>
          <w:numId w:val="5"/>
        </w:numPr>
        <w:suppressAutoHyphens w:val="0"/>
        <w:ind w:left="567" w:hanging="567"/>
        <w:contextualSpacing/>
        <w:jc w:val="both"/>
        <w:rPr>
          <w:rFonts w:ascii="Tahoma" w:hAnsi="Tahoma" w:cs="Tahoma"/>
          <w:sz w:val="22"/>
          <w:szCs w:val="22"/>
        </w:rPr>
      </w:pPr>
      <w:r w:rsidRPr="00832CBD">
        <w:rPr>
          <w:rFonts w:ascii="Tahoma" w:hAnsi="Tahoma" w:cs="Tahoma"/>
          <w:sz w:val="22"/>
          <w:szCs w:val="22"/>
        </w:rPr>
        <w:t>Media</w:t>
      </w:r>
      <w:r>
        <w:rPr>
          <w:rFonts w:ascii="Tahoma" w:hAnsi="Tahoma" w:cs="Tahoma"/>
          <w:sz w:val="22"/>
          <w:szCs w:val="22"/>
        </w:rPr>
        <w:t>nte Carta Notarial Nº 2709</w:t>
      </w:r>
      <w:r w:rsidRPr="00832CBD">
        <w:rPr>
          <w:rFonts w:ascii="Tahoma" w:hAnsi="Tahoma" w:cs="Tahoma"/>
          <w:sz w:val="22"/>
          <w:szCs w:val="22"/>
        </w:rPr>
        <w:t xml:space="preserve"> notificada vía notarial el </w:t>
      </w:r>
      <w:r>
        <w:rPr>
          <w:rFonts w:ascii="Tahoma" w:hAnsi="Tahoma" w:cs="Tahoma"/>
          <w:sz w:val="22"/>
          <w:szCs w:val="22"/>
        </w:rPr>
        <w:t>30 de julio del 2010</w:t>
      </w:r>
      <w:r w:rsidRPr="00832CBD">
        <w:rPr>
          <w:rFonts w:ascii="Tahoma" w:hAnsi="Tahoma" w:cs="Tahoma"/>
          <w:sz w:val="22"/>
          <w:szCs w:val="22"/>
        </w:rPr>
        <w:t xml:space="preserve">, la Entidad </w:t>
      </w:r>
      <w:r>
        <w:rPr>
          <w:rFonts w:ascii="Tahoma" w:hAnsi="Tahoma" w:cs="Tahoma"/>
          <w:sz w:val="22"/>
          <w:szCs w:val="22"/>
        </w:rPr>
        <w:t>resolvió el CONTRATO DE BIENES Nº 028-2010-GR.LAMB “ADQUISICIÓN DE CEMENTO PORTLAND TIPO I” por el incumplimiento de las obligaciones contractuales por parte de la Contratista.</w:t>
      </w:r>
    </w:p>
    <w:p w:rsidR="00D96478" w:rsidRPr="005A6959" w:rsidRDefault="00D96478" w:rsidP="00D96478">
      <w:pPr>
        <w:pStyle w:val="Prrafodelista"/>
        <w:rPr>
          <w:rFonts w:ascii="Tahoma" w:hAnsi="Tahoma" w:cs="Tahoma"/>
          <w:sz w:val="22"/>
          <w:szCs w:val="22"/>
        </w:rPr>
      </w:pPr>
    </w:p>
    <w:p w:rsidR="00D96478" w:rsidRPr="00832CBD" w:rsidRDefault="00D96478" w:rsidP="00D96478">
      <w:pPr>
        <w:pStyle w:val="Prrafodelista"/>
        <w:widowControl/>
        <w:numPr>
          <w:ilvl w:val="0"/>
          <w:numId w:val="5"/>
        </w:numPr>
        <w:suppressAutoHyphens w:val="0"/>
        <w:ind w:left="567" w:hanging="567"/>
        <w:contextualSpacing/>
        <w:jc w:val="both"/>
        <w:rPr>
          <w:rFonts w:ascii="Tahoma" w:hAnsi="Tahoma" w:cs="Tahoma"/>
          <w:sz w:val="22"/>
          <w:szCs w:val="22"/>
        </w:rPr>
      </w:pPr>
      <w:r>
        <w:rPr>
          <w:rFonts w:ascii="Tahoma" w:hAnsi="Tahoma" w:cs="Tahoma"/>
          <w:sz w:val="22"/>
          <w:szCs w:val="22"/>
        </w:rPr>
        <w:t>Con Carta Notarial Nº 1362 notificada vía notarial el 26 de agosto del 2010, la Entidad informó a la Contratista que mediante Carta Notarial Nº 2709</w:t>
      </w:r>
      <w:r w:rsidRPr="00832CBD">
        <w:rPr>
          <w:rFonts w:ascii="Tahoma" w:hAnsi="Tahoma" w:cs="Tahoma"/>
          <w:sz w:val="22"/>
          <w:szCs w:val="22"/>
        </w:rPr>
        <w:t xml:space="preserve"> notificada vía notarial el </w:t>
      </w:r>
      <w:r>
        <w:rPr>
          <w:rFonts w:ascii="Tahoma" w:hAnsi="Tahoma" w:cs="Tahoma"/>
          <w:sz w:val="22"/>
          <w:szCs w:val="22"/>
        </w:rPr>
        <w:t xml:space="preserve">30 de julio del 2010 se ha resuelto el CONTRATO DE BIENES Nº 028-2010-GR.LAMB “ADQUISICIÓN DE CEMENTO PORTLAND TIPO I”, por lo tanto de conformidad al artículo 170 del Reglamento de la Ley de Contrataciones del Estado, ha tenido 15 días hábiles para someter a cualquier controversia como es a la conciliación y/o arbitraje, no obstante ello, dicho plazo se ha cumplido el </w:t>
      </w:r>
      <w:r>
        <w:rPr>
          <w:rFonts w:ascii="Tahoma" w:hAnsi="Tahoma" w:cs="Tahoma"/>
          <w:sz w:val="22"/>
          <w:szCs w:val="22"/>
        </w:rPr>
        <w:lastRenderedPageBreak/>
        <w:t>20 de agosto del 2010 y al no haber iniciado dichos procedimiento, la resolución del contrato ha quedado consentida.</w:t>
      </w:r>
    </w:p>
    <w:p w:rsidR="00D96478" w:rsidRPr="00832CBD" w:rsidRDefault="00D96478" w:rsidP="00D96478">
      <w:pPr>
        <w:contextualSpacing/>
        <w:jc w:val="both"/>
        <w:rPr>
          <w:rFonts w:ascii="Tahoma" w:hAnsi="Tahoma" w:cs="Tahoma"/>
          <w:sz w:val="22"/>
          <w:szCs w:val="22"/>
        </w:rPr>
      </w:pPr>
    </w:p>
    <w:p w:rsidR="00D96478" w:rsidRDefault="00D96478" w:rsidP="00D96478">
      <w:pPr>
        <w:pStyle w:val="Prrafodelista"/>
        <w:widowControl/>
        <w:numPr>
          <w:ilvl w:val="0"/>
          <w:numId w:val="5"/>
        </w:numPr>
        <w:suppressAutoHyphens w:val="0"/>
        <w:ind w:left="567" w:hanging="567"/>
        <w:contextualSpacing/>
        <w:jc w:val="both"/>
        <w:rPr>
          <w:rFonts w:ascii="Tahoma" w:hAnsi="Tahoma" w:cs="Tahoma"/>
          <w:sz w:val="22"/>
          <w:szCs w:val="22"/>
        </w:rPr>
      </w:pPr>
      <w:r w:rsidRPr="005A6959">
        <w:rPr>
          <w:rFonts w:ascii="Tahoma" w:hAnsi="Tahoma" w:cs="Tahoma"/>
          <w:sz w:val="22"/>
          <w:szCs w:val="22"/>
        </w:rPr>
        <w:t xml:space="preserve">Mediante escrito presentado en Mesa de Partes del Tribunal el 08 de noviembre de 2010, la Entidad comunicó a este Tribunal de Contrataciones del Estado, en adelante el Tribunal, los hechos antes expuestos. </w:t>
      </w:r>
    </w:p>
    <w:p w:rsidR="00D96478" w:rsidRPr="005A6959" w:rsidRDefault="00D96478" w:rsidP="00D96478">
      <w:pPr>
        <w:contextualSpacing/>
        <w:jc w:val="both"/>
        <w:rPr>
          <w:rFonts w:ascii="Tahoma" w:hAnsi="Tahoma" w:cs="Tahoma"/>
          <w:sz w:val="22"/>
          <w:szCs w:val="22"/>
        </w:rPr>
      </w:pPr>
    </w:p>
    <w:p w:rsidR="00D96478" w:rsidRPr="008963B8" w:rsidRDefault="00D96478" w:rsidP="00D96478">
      <w:pPr>
        <w:numPr>
          <w:ilvl w:val="0"/>
          <w:numId w:val="5"/>
        </w:numPr>
        <w:ind w:left="567" w:hanging="567"/>
        <w:jc w:val="both"/>
        <w:rPr>
          <w:rFonts w:ascii="Tahoma" w:eastAsia="MS Mincho" w:hAnsi="Tahoma" w:cs="Tahoma"/>
          <w:sz w:val="22"/>
          <w:szCs w:val="22"/>
        </w:rPr>
      </w:pPr>
      <w:r w:rsidRPr="008963B8">
        <w:rPr>
          <w:rFonts w:ascii="Tahoma" w:eastAsia="MS Mincho" w:hAnsi="Tahoma" w:cs="Tahoma"/>
          <w:sz w:val="22"/>
          <w:szCs w:val="22"/>
        </w:rPr>
        <w:t xml:space="preserve">Con decreto de fecha 11 de noviembre de 2010, se inicio procedimiento administrativo sancionador contra la Contratista, por supuesta responsabilidad al haber dado lugar a la resolución del </w:t>
      </w:r>
      <w:r w:rsidRPr="008963B8">
        <w:rPr>
          <w:rFonts w:ascii="Tahoma" w:hAnsi="Tahoma" w:cs="Tahoma"/>
          <w:sz w:val="22"/>
          <w:szCs w:val="22"/>
        </w:rPr>
        <w:t>CONTRATO DE BIENES Nº 028-2010-GR.LAMB “ADQUISICIÓN DE CEMENTO PORTLAND TIPO I”, de</w:t>
      </w:r>
      <w:r>
        <w:rPr>
          <w:rFonts w:ascii="Tahoma" w:hAnsi="Tahoma" w:cs="Tahoma"/>
          <w:sz w:val="22"/>
          <w:szCs w:val="22"/>
        </w:rPr>
        <w:t>rivado del proceso de selección</w:t>
      </w:r>
      <w:r w:rsidRPr="00832CBD">
        <w:rPr>
          <w:rFonts w:ascii="Tahoma" w:hAnsi="Tahoma" w:cs="Tahoma"/>
          <w:sz w:val="22"/>
          <w:szCs w:val="22"/>
        </w:rPr>
        <w:t xml:space="preserve"> </w:t>
      </w:r>
      <w:r>
        <w:rPr>
          <w:rFonts w:ascii="Tahoma" w:hAnsi="Tahoma" w:cs="Tahoma"/>
          <w:sz w:val="22"/>
          <w:szCs w:val="22"/>
        </w:rPr>
        <w:t>Adjudicación de Menor Cuantía por Subasta Inversa Electrónica Nº 009-2010-GR.LAMB.</w:t>
      </w:r>
    </w:p>
    <w:p w:rsidR="00D96478" w:rsidRPr="008963B8" w:rsidRDefault="00D96478" w:rsidP="00D96478">
      <w:pPr>
        <w:jc w:val="both"/>
        <w:rPr>
          <w:rFonts w:ascii="Tahoma" w:eastAsia="MS Mincho" w:hAnsi="Tahoma" w:cs="Tahoma"/>
          <w:sz w:val="22"/>
          <w:szCs w:val="22"/>
        </w:rPr>
      </w:pPr>
    </w:p>
    <w:p w:rsidR="00D96478" w:rsidRPr="00832CBD" w:rsidRDefault="00D96478" w:rsidP="00D96478">
      <w:pPr>
        <w:ind w:left="567"/>
        <w:jc w:val="both"/>
        <w:rPr>
          <w:rFonts w:ascii="Tahoma" w:eastAsia="MS Mincho" w:hAnsi="Tahoma" w:cs="Tahoma"/>
          <w:sz w:val="22"/>
          <w:szCs w:val="22"/>
        </w:rPr>
      </w:pPr>
      <w:r w:rsidRPr="00832CBD">
        <w:rPr>
          <w:rFonts w:ascii="Tahoma" w:eastAsia="MS Mincho" w:hAnsi="Tahoma" w:cs="Tahoma"/>
          <w:sz w:val="22"/>
          <w:szCs w:val="22"/>
        </w:rPr>
        <w:t>Asimismo, se otorgó a la Contratista un plazo de diez (10) días hábiles para que cumpla con presentar sus descargos, bajo apercibimiento de resolver el procedimiento con la documentación obrante en el expediente.</w:t>
      </w:r>
    </w:p>
    <w:p w:rsidR="00D96478" w:rsidRPr="00832CBD" w:rsidRDefault="00D96478" w:rsidP="00D96478">
      <w:pPr>
        <w:ind w:left="567"/>
        <w:jc w:val="both"/>
        <w:rPr>
          <w:rFonts w:ascii="Tahoma" w:hAnsi="Tahoma" w:cs="Tahoma"/>
          <w:sz w:val="22"/>
          <w:szCs w:val="22"/>
          <w:lang w:eastAsia="es-PE"/>
        </w:rPr>
      </w:pPr>
    </w:p>
    <w:p w:rsidR="00D96478" w:rsidRPr="00832CBD" w:rsidRDefault="00D96478" w:rsidP="00D96478">
      <w:pPr>
        <w:numPr>
          <w:ilvl w:val="0"/>
          <w:numId w:val="5"/>
        </w:numPr>
        <w:ind w:left="567" w:hanging="567"/>
        <w:jc w:val="both"/>
        <w:rPr>
          <w:rFonts w:ascii="Tahoma" w:hAnsi="Tahoma" w:cs="Tahoma"/>
          <w:sz w:val="22"/>
          <w:szCs w:val="22"/>
          <w:lang w:eastAsia="es-PE"/>
        </w:rPr>
      </w:pPr>
      <w:r w:rsidRPr="00832CBD">
        <w:rPr>
          <w:rFonts w:ascii="Tahoma" w:hAnsi="Tahoma" w:cs="Tahoma"/>
          <w:sz w:val="22"/>
          <w:szCs w:val="22"/>
        </w:rPr>
        <w:t>Mediante e</w:t>
      </w:r>
      <w:r>
        <w:rPr>
          <w:rFonts w:ascii="Tahoma" w:hAnsi="Tahoma" w:cs="Tahoma"/>
          <w:sz w:val="22"/>
          <w:szCs w:val="22"/>
        </w:rPr>
        <w:t>scrito presentado el 22 de diciembre</w:t>
      </w:r>
      <w:r w:rsidRPr="00832CBD">
        <w:rPr>
          <w:rFonts w:ascii="Tahoma" w:hAnsi="Tahoma" w:cs="Tahoma"/>
          <w:sz w:val="22"/>
          <w:szCs w:val="22"/>
        </w:rPr>
        <w:t xml:space="preserve"> de 2010, la Contratista se apersonó al procedimiento y presentó sus descargos, bajo los siguientes términos:</w:t>
      </w:r>
    </w:p>
    <w:p w:rsidR="00D96478" w:rsidRPr="00832CBD" w:rsidRDefault="00D96478" w:rsidP="00D96478">
      <w:pPr>
        <w:tabs>
          <w:tab w:val="num" w:pos="1035"/>
        </w:tabs>
        <w:jc w:val="both"/>
        <w:rPr>
          <w:rFonts w:ascii="Tahoma" w:hAnsi="Tahoma" w:cs="Tahoma"/>
          <w:sz w:val="22"/>
          <w:szCs w:val="22"/>
        </w:rPr>
      </w:pPr>
    </w:p>
    <w:p w:rsidR="00D96478" w:rsidRDefault="00D96478" w:rsidP="00D96478">
      <w:pPr>
        <w:pStyle w:val="Prrafodelista"/>
        <w:widowControl/>
        <w:numPr>
          <w:ilvl w:val="0"/>
          <w:numId w:val="6"/>
        </w:numPr>
        <w:suppressAutoHyphens w:val="0"/>
        <w:ind w:left="1134" w:hanging="567"/>
        <w:jc w:val="both"/>
        <w:rPr>
          <w:rFonts w:ascii="Tahoma" w:hAnsi="Tahoma" w:cs="Tahoma"/>
          <w:sz w:val="22"/>
          <w:szCs w:val="22"/>
        </w:rPr>
      </w:pPr>
      <w:r>
        <w:rPr>
          <w:rFonts w:ascii="Tahoma" w:hAnsi="Tahoma" w:cs="Tahoma"/>
          <w:sz w:val="22"/>
          <w:szCs w:val="22"/>
        </w:rPr>
        <w:t xml:space="preserve">El </w:t>
      </w:r>
      <w:r w:rsidRPr="008963B8">
        <w:rPr>
          <w:rFonts w:ascii="Tahoma" w:hAnsi="Tahoma" w:cs="Tahoma"/>
          <w:sz w:val="22"/>
          <w:szCs w:val="22"/>
        </w:rPr>
        <w:t>CONTRATO DE BIENES Nº 028-2010-GR.LAMB “ADQUISICIÓN DE CEMENTO PORTLAND TIPO I”</w:t>
      </w:r>
      <w:r>
        <w:rPr>
          <w:rFonts w:ascii="Tahoma" w:hAnsi="Tahoma" w:cs="Tahoma"/>
          <w:sz w:val="22"/>
          <w:szCs w:val="22"/>
        </w:rPr>
        <w:t xml:space="preserve"> suscrito el 17 de mayo del 2010 no se realizó conforme al Contrato Proforma que formaba parte de las Bases de la Convocatoria al Proceso, toda vez que no se incluyó la cláusula cuarta, respecto a las Obligaciones punto tercero en la cual se estableció “QUE LA ENTIDAD SE SUJETARÁ AL FLUJO DE PRECIOS QUE DISPONGA EL MERCADO NACIONAL Y EL MINISTERIO DE ENERGIA Y MINAS, EN CASO DE VARIAR EL PRECIO.</w:t>
      </w:r>
    </w:p>
    <w:p w:rsidR="00D96478" w:rsidRDefault="00D96478" w:rsidP="00D96478">
      <w:pPr>
        <w:pStyle w:val="Prrafodelista"/>
        <w:ind w:left="1134" w:hanging="567"/>
        <w:jc w:val="both"/>
        <w:rPr>
          <w:rFonts w:ascii="Tahoma" w:hAnsi="Tahoma" w:cs="Tahoma"/>
          <w:sz w:val="22"/>
          <w:szCs w:val="22"/>
        </w:rPr>
      </w:pPr>
    </w:p>
    <w:p w:rsidR="00D96478" w:rsidRDefault="00D96478" w:rsidP="00D96478">
      <w:pPr>
        <w:pStyle w:val="Prrafodelista"/>
        <w:widowControl/>
        <w:numPr>
          <w:ilvl w:val="0"/>
          <w:numId w:val="6"/>
        </w:numPr>
        <w:suppressAutoHyphens w:val="0"/>
        <w:ind w:left="1134" w:hanging="567"/>
        <w:jc w:val="both"/>
        <w:rPr>
          <w:rFonts w:ascii="Tahoma" w:hAnsi="Tahoma" w:cs="Tahoma"/>
          <w:sz w:val="22"/>
          <w:szCs w:val="22"/>
        </w:rPr>
      </w:pPr>
      <w:r>
        <w:rPr>
          <w:rFonts w:ascii="Tahoma" w:hAnsi="Tahoma" w:cs="Tahoma"/>
          <w:sz w:val="22"/>
          <w:szCs w:val="22"/>
        </w:rPr>
        <w:t xml:space="preserve">Asimismo, teniendo en cuenta el contenido de la parte In Fine de la Claúsula segunda del contrato, que establece “que el Contratista cumplirá con la prestación a requerimiento de la Oficina de Abastecimiento”, por lo que la entidad realizará el pago por el valor del producto, y habiéndose incrementado el precio del Cemento Portland Tipo I el 07 de junio del 2010 a S/. 17.55 cuando a la fecha de celebración del contrato, es decir el 17 de mayo del 2010, estuvo situada en S/. 17.8024 por bolsa, es que mediante Carta Nº 11-2010-JPRSRL del 14 de junio del 2010, procedió a comunicar a la Entidad el incremento de precio, solicitando el reconocimiento de un reajuste y proponiendo modificar el contrato mediante una adenda, no obstante, no obtuvieron respuesta y, muy por contrario, mediante el Oficio Nº 637-2010-GR-LAM/ORAD-OABAS, la Entidad adjuntó copia del </w:t>
      </w:r>
      <w:r>
        <w:rPr>
          <w:rFonts w:ascii="Tahoma" w:hAnsi="Tahoma" w:cs="Tahoma"/>
          <w:sz w:val="22"/>
          <w:szCs w:val="22"/>
        </w:rPr>
        <w:lastRenderedPageBreak/>
        <w:t>cronograma mensualizado, indicando que la fecha de entrega son todos los 21 de cada mes, es decir, después de un mes de celebrado el contrato se les remitió dicho cronograma, cuando ya se había dado el incremento de precios.</w:t>
      </w:r>
    </w:p>
    <w:p w:rsidR="00D96478" w:rsidRDefault="00D96478" w:rsidP="00D96478">
      <w:pPr>
        <w:pStyle w:val="Prrafodelista"/>
        <w:ind w:left="1134" w:hanging="567"/>
        <w:jc w:val="both"/>
        <w:rPr>
          <w:rFonts w:ascii="Tahoma" w:hAnsi="Tahoma" w:cs="Tahoma"/>
          <w:sz w:val="22"/>
          <w:szCs w:val="22"/>
        </w:rPr>
      </w:pPr>
    </w:p>
    <w:p w:rsidR="00D96478" w:rsidRDefault="00D96478" w:rsidP="00D96478">
      <w:pPr>
        <w:pStyle w:val="Prrafodelista"/>
        <w:widowControl/>
        <w:numPr>
          <w:ilvl w:val="0"/>
          <w:numId w:val="6"/>
        </w:numPr>
        <w:suppressAutoHyphens w:val="0"/>
        <w:ind w:left="1134" w:hanging="567"/>
        <w:jc w:val="both"/>
        <w:rPr>
          <w:rFonts w:ascii="Tahoma" w:hAnsi="Tahoma" w:cs="Tahoma"/>
          <w:sz w:val="22"/>
          <w:szCs w:val="22"/>
        </w:rPr>
      </w:pPr>
      <w:r>
        <w:rPr>
          <w:rFonts w:ascii="Tahoma" w:hAnsi="Tahoma" w:cs="Tahoma"/>
          <w:sz w:val="22"/>
          <w:szCs w:val="22"/>
        </w:rPr>
        <w:t>Así también, señaló que solicitó la resolución del contrato, sin embargo, la Entidad se opuso a dicha resolución, señalando que no se han adecuado a las disposiciones de contrataciones, no obstante ello, con Carta de fecha 23 de julio del 2010, se comunicó que dan por resuelto el contrato, la misma que es concretizada mediante Resolución Nº 111-2010-GR.LAMB/GCR.</w:t>
      </w:r>
    </w:p>
    <w:p w:rsidR="00D96478" w:rsidRDefault="00D96478" w:rsidP="00D96478">
      <w:pPr>
        <w:pStyle w:val="Prrafodelista"/>
        <w:ind w:left="1134" w:hanging="567"/>
        <w:jc w:val="both"/>
        <w:rPr>
          <w:rFonts w:ascii="Tahoma" w:hAnsi="Tahoma" w:cs="Tahoma"/>
          <w:sz w:val="22"/>
          <w:szCs w:val="22"/>
        </w:rPr>
      </w:pPr>
    </w:p>
    <w:p w:rsidR="00D96478" w:rsidRDefault="00D96478" w:rsidP="00D96478">
      <w:pPr>
        <w:pStyle w:val="Prrafodelista"/>
        <w:widowControl/>
        <w:numPr>
          <w:ilvl w:val="0"/>
          <w:numId w:val="6"/>
        </w:numPr>
        <w:suppressAutoHyphens w:val="0"/>
        <w:ind w:left="1134" w:hanging="567"/>
        <w:jc w:val="both"/>
        <w:rPr>
          <w:rFonts w:ascii="Tahoma" w:hAnsi="Tahoma" w:cs="Tahoma"/>
          <w:sz w:val="22"/>
          <w:szCs w:val="22"/>
        </w:rPr>
      </w:pPr>
      <w:r>
        <w:rPr>
          <w:rFonts w:ascii="Tahoma" w:hAnsi="Tahoma" w:cs="Tahoma"/>
          <w:sz w:val="22"/>
          <w:szCs w:val="22"/>
        </w:rPr>
        <w:t>También agregó que la Entidad ha actuado violentando las normas de buena fe, toda vez que en las Bases ha incluido la proforma de un contrato y, al momento de celebrar el contrato, se ha suscrito uno diferente, toda vez que no se incluyo la clausula referido a “QUE LA ENTIDAD SE SUJETARÁ AL FLUJO DE PRECIOS QUE DISPONGA EL MERCADO NACIONAL Y EL MINISTERIO DE ENERGIA Y MINAS, CASO DE VARIAR EL PRECIO”.</w:t>
      </w:r>
    </w:p>
    <w:p w:rsidR="00D96478" w:rsidRDefault="00D96478" w:rsidP="00D96478">
      <w:pPr>
        <w:pStyle w:val="Prrafodelista"/>
        <w:ind w:left="1134" w:hanging="567"/>
        <w:jc w:val="both"/>
        <w:rPr>
          <w:rFonts w:ascii="Tahoma" w:hAnsi="Tahoma" w:cs="Tahoma"/>
          <w:sz w:val="22"/>
          <w:szCs w:val="22"/>
        </w:rPr>
      </w:pPr>
    </w:p>
    <w:p w:rsidR="00D96478" w:rsidRDefault="00D96478" w:rsidP="00D96478">
      <w:pPr>
        <w:pStyle w:val="Prrafodelista"/>
        <w:widowControl/>
        <w:numPr>
          <w:ilvl w:val="0"/>
          <w:numId w:val="6"/>
        </w:numPr>
        <w:suppressAutoHyphens w:val="0"/>
        <w:ind w:left="1134" w:hanging="567"/>
        <w:jc w:val="both"/>
        <w:rPr>
          <w:rFonts w:ascii="Tahoma" w:hAnsi="Tahoma" w:cs="Tahoma"/>
          <w:sz w:val="22"/>
          <w:szCs w:val="22"/>
        </w:rPr>
      </w:pPr>
      <w:r>
        <w:rPr>
          <w:rFonts w:ascii="Tahoma" w:hAnsi="Tahoma" w:cs="Tahoma"/>
          <w:sz w:val="22"/>
          <w:szCs w:val="22"/>
        </w:rPr>
        <w:t>Finalmente, señalo que no existe el riesgo de perder la inversión al ser revertida al Tesoro Público en el caso de un posible recorte presupuestal, por el no cumplimiento del contrato, toda vez que la ejecución de un proyecto o una obra se encuentra programado en el Plan Anual de Contrataciones PAC, y este se encuentra en el Presupuesto Anual de la Entidad, el cual puede modificarse de acuerdo a la modificaciones presupuestarias que realice la Entidad, consecuentemente, al haberse programado la ejecución de la obra para la cual estaba destinada el Cemento, es imposible que su presupuesto se revierta al Tesoro Público, más aún, si ello ocurriría, sería por negligencia e irresponsabilidad de los funcionarios. En tal sentido, estando presupuesto dicho gasto, solamente puede comprometerse y luego devengarse para el año siguiente a fin de evitar la reinversión al Tesoro Público, y teniendo en cuenta que el Contrato se ha resuelto el 11 de agosto del 2010, existe el tiempo prudencia para que la Entidad lleve a cabo otro proceso de adquisición, no siendo posible el retorno del dinero o presupuesto para la obra materia de construcción al Tesoro Público.</w:t>
      </w:r>
    </w:p>
    <w:p w:rsidR="00D96478" w:rsidRDefault="00D96478" w:rsidP="00D96478">
      <w:pPr>
        <w:numPr>
          <w:ilvl w:val="0"/>
          <w:numId w:val="5"/>
        </w:numPr>
        <w:ind w:left="567" w:hanging="567"/>
        <w:jc w:val="both"/>
        <w:rPr>
          <w:rFonts w:ascii="Tahoma" w:hAnsi="Tahoma" w:cs="Tahoma"/>
          <w:sz w:val="22"/>
          <w:szCs w:val="22"/>
          <w:lang w:eastAsia="es-PE"/>
        </w:rPr>
      </w:pPr>
      <w:r w:rsidRPr="00832CBD">
        <w:rPr>
          <w:rFonts w:ascii="Tahoma" w:hAnsi="Tahoma" w:cs="Tahoma"/>
          <w:sz w:val="22"/>
          <w:szCs w:val="22"/>
        </w:rPr>
        <w:t xml:space="preserve">Mediante decreto del </w:t>
      </w:r>
      <w:r>
        <w:rPr>
          <w:rFonts w:ascii="Tahoma" w:hAnsi="Tahoma" w:cs="Tahoma"/>
          <w:sz w:val="22"/>
          <w:szCs w:val="22"/>
        </w:rPr>
        <w:t>28 de diciembre</w:t>
      </w:r>
      <w:r w:rsidRPr="00832CBD">
        <w:rPr>
          <w:rFonts w:ascii="Tahoma" w:hAnsi="Tahoma" w:cs="Tahoma"/>
          <w:sz w:val="22"/>
          <w:szCs w:val="22"/>
        </w:rPr>
        <w:t xml:space="preserve"> de 2010, se tuvo por apersonado al procedimiento a la Contratista, por presentados sus descargos, por señalado su domicilio procesal, y se remitió el expediente a la Primera Sala del Tribunal para que resuelva.</w:t>
      </w:r>
    </w:p>
    <w:p w:rsidR="00D96478" w:rsidRDefault="00D96478" w:rsidP="00D96478">
      <w:pPr>
        <w:ind w:left="567"/>
        <w:jc w:val="both"/>
        <w:rPr>
          <w:rFonts w:ascii="Tahoma" w:hAnsi="Tahoma" w:cs="Tahoma"/>
          <w:sz w:val="22"/>
          <w:szCs w:val="22"/>
          <w:lang w:eastAsia="es-PE"/>
        </w:rPr>
      </w:pPr>
    </w:p>
    <w:p w:rsidR="00D96478" w:rsidRDefault="00D96478" w:rsidP="00D96478">
      <w:pPr>
        <w:numPr>
          <w:ilvl w:val="0"/>
          <w:numId w:val="5"/>
        </w:numPr>
        <w:ind w:left="567" w:hanging="567"/>
        <w:jc w:val="both"/>
        <w:rPr>
          <w:rFonts w:ascii="Tahoma" w:hAnsi="Tahoma" w:cs="Tahoma"/>
          <w:sz w:val="22"/>
          <w:szCs w:val="22"/>
          <w:lang w:eastAsia="es-PE"/>
        </w:rPr>
      </w:pPr>
      <w:r>
        <w:rPr>
          <w:rFonts w:ascii="Tahoma" w:hAnsi="Tahoma" w:cs="Tahoma"/>
          <w:sz w:val="22"/>
          <w:szCs w:val="22"/>
          <w:lang w:eastAsia="es-PE"/>
        </w:rPr>
        <w:t xml:space="preserve">A través del decreto de fecha 24 de febrero del 2011, se solicitó información adicional al Instituto Nacional de Estadísticas e Informática a fin que adjunte las </w:t>
      </w:r>
      <w:r>
        <w:rPr>
          <w:rFonts w:ascii="Tahoma" w:hAnsi="Tahoma" w:cs="Tahoma"/>
          <w:sz w:val="22"/>
          <w:szCs w:val="22"/>
          <w:lang w:eastAsia="es-PE"/>
        </w:rPr>
        <w:lastRenderedPageBreak/>
        <w:t>estadísticas mensuales respecto a la variación del precio de Cemento Portland Tipo I, que se habría producido los años 2009 y 2010 y, además, para que indique, de ser el caso, si dicha variación ha sido extraordinario, excepcional e imprevisible.</w:t>
      </w:r>
    </w:p>
    <w:p w:rsidR="00D96478" w:rsidRDefault="00D96478" w:rsidP="00D96478">
      <w:pPr>
        <w:pStyle w:val="Prrafodelista"/>
        <w:rPr>
          <w:rFonts w:ascii="Tahoma" w:hAnsi="Tahoma" w:cs="Tahoma"/>
          <w:sz w:val="22"/>
          <w:szCs w:val="22"/>
          <w:lang w:eastAsia="es-PE"/>
        </w:rPr>
      </w:pPr>
    </w:p>
    <w:p w:rsidR="00D96478" w:rsidRDefault="00D96478" w:rsidP="00D96478">
      <w:pPr>
        <w:numPr>
          <w:ilvl w:val="0"/>
          <w:numId w:val="5"/>
        </w:numPr>
        <w:ind w:left="567" w:hanging="567"/>
        <w:jc w:val="both"/>
        <w:rPr>
          <w:rFonts w:ascii="Tahoma" w:hAnsi="Tahoma" w:cs="Tahoma"/>
          <w:sz w:val="22"/>
          <w:szCs w:val="22"/>
          <w:lang w:eastAsia="es-PE"/>
        </w:rPr>
      </w:pPr>
      <w:r>
        <w:rPr>
          <w:rFonts w:ascii="Tahoma" w:hAnsi="Tahoma" w:cs="Tahoma"/>
          <w:sz w:val="22"/>
          <w:szCs w:val="22"/>
          <w:lang w:eastAsia="es-PE"/>
        </w:rPr>
        <w:t>Con oficio Nº 096-2011-INEI/J presentado el 11 de marzo del 2011, la Entidad remitió la variación porcentual mensual en el índice de precios al por mayor de la variedad del Cemento Portland Tipo I de los años 2009 y 2010.</w:t>
      </w:r>
    </w:p>
    <w:p w:rsidR="00D96478" w:rsidRDefault="00D96478" w:rsidP="00D96478">
      <w:pPr>
        <w:pStyle w:val="Prrafodelista"/>
        <w:rPr>
          <w:rFonts w:ascii="Tahoma" w:hAnsi="Tahoma" w:cs="Tahoma"/>
          <w:sz w:val="22"/>
          <w:szCs w:val="22"/>
          <w:lang w:eastAsia="es-PE"/>
        </w:rPr>
      </w:pPr>
    </w:p>
    <w:p w:rsidR="00D96478" w:rsidRDefault="00D96478" w:rsidP="00D96478">
      <w:pPr>
        <w:numPr>
          <w:ilvl w:val="0"/>
          <w:numId w:val="5"/>
        </w:numPr>
        <w:ind w:left="567" w:hanging="567"/>
        <w:jc w:val="both"/>
        <w:rPr>
          <w:rFonts w:ascii="Tahoma" w:hAnsi="Tahoma" w:cs="Tahoma"/>
          <w:sz w:val="22"/>
          <w:szCs w:val="22"/>
          <w:lang w:eastAsia="es-PE"/>
        </w:rPr>
      </w:pPr>
      <w:r>
        <w:rPr>
          <w:rFonts w:ascii="Tahoma" w:hAnsi="Tahoma" w:cs="Tahoma"/>
          <w:sz w:val="22"/>
          <w:szCs w:val="22"/>
          <w:lang w:eastAsia="es-PE"/>
        </w:rPr>
        <w:t>Mediante decreto de fecha 17 de marzo del 2011, se solicitó información adicional al Instituto Nacional de Estadísticas e Informática a fin que presente el Índice de Precios Promedio del material de Construcción correspondiente al Cemento Portland Tipo I, que se habría producido los años 2009 y 2010.</w:t>
      </w:r>
    </w:p>
    <w:p w:rsidR="00D96478" w:rsidRDefault="00D96478" w:rsidP="00D96478">
      <w:pPr>
        <w:pStyle w:val="Prrafodelista"/>
        <w:rPr>
          <w:rFonts w:ascii="Tahoma" w:hAnsi="Tahoma" w:cs="Tahoma"/>
          <w:sz w:val="22"/>
          <w:szCs w:val="22"/>
          <w:lang w:eastAsia="es-PE"/>
        </w:rPr>
      </w:pPr>
    </w:p>
    <w:p w:rsidR="00D96478" w:rsidRPr="00832CBD" w:rsidRDefault="00D96478" w:rsidP="00D96478">
      <w:pPr>
        <w:numPr>
          <w:ilvl w:val="0"/>
          <w:numId w:val="5"/>
        </w:numPr>
        <w:ind w:left="567" w:hanging="567"/>
        <w:jc w:val="both"/>
        <w:rPr>
          <w:rFonts w:ascii="Tahoma" w:hAnsi="Tahoma" w:cs="Tahoma"/>
          <w:sz w:val="22"/>
          <w:szCs w:val="22"/>
          <w:lang w:eastAsia="es-PE"/>
        </w:rPr>
      </w:pPr>
      <w:r>
        <w:rPr>
          <w:rFonts w:ascii="Tahoma" w:hAnsi="Tahoma" w:cs="Tahoma"/>
          <w:sz w:val="22"/>
          <w:szCs w:val="22"/>
          <w:lang w:eastAsia="es-PE"/>
        </w:rPr>
        <w:t>A través del Oficio Nº 062-2011-INE/DTIE presentado el 24 de marzo del 2011, el Instituto Nacional de Estadísticas e Informática cumplió con remitir la información requerida.</w:t>
      </w:r>
    </w:p>
    <w:p w:rsidR="00D96478" w:rsidRPr="00A85917" w:rsidRDefault="00D96478" w:rsidP="00D96478">
      <w:pPr>
        <w:rPr>
          <w:rFonts w:ascii="Tahoma" w:hAnsi="Tahoma" w:cs="Tahoma"/>
          <w:b/>
          <w:sz w:val="23"/>
          <w:szCs w:val="23"/>
        </w:rPr>
      </w:pPr>
    </w:p>
    <w:p w:rsidR="00D96478" w:rsidRPr="00A85917" w:rsidRDefault="00D96478" w:rsidP="00D96478">
      <w:pPr>
        <w:pStyle w:val="Prrafodelista"/>
        <w:numPr>
          <w:ilvl w:val="0"/>
          <w:numId w:val="1"/>
        </w:numPr>
        <w:ind w:left="567" w:hanging="283"/>
        <w:rPr>
          <w:rFonts w:ascii="Tahoma" w:hAnsi="Tahoma" w:cs="Tahoma"/>
          <w:b/>
          <w:sz w:val="23"/>
          <w:szCs w:val="23"/>
        </w:rPr>
      </w:pPr>
      <w:r w:rsidRPr="00A85917">
        <w:rPr>
          <w:rFonts w:ascii="Tahoma" w:hAnsi="Tahoma" w:cs="Tahoma"/>
          <w:b/>
          <w:sz w:val="23"/>
          <w:szCs w:val="23"/>
        </w:rPr>
        <w:t>FUNDAMENTACIÓN</w:t>
      </w:r>
    </w:p>
    <w:p w:rsidR="00D96478" w:rsidRPr="00A85917" w:rsidRDefault="00D96478" w:rsidP="00D96478">
      <w:pPr>
        <w:ind w:left="426"/>
        <w:jc w:val="both"/>
        <w:rPr>
          <w:rFonts w:ascii="Tahoma" w:hAnsi="Tahoma" w:cs="Tahoma"/>
          <w:sz w:val="23"/>
          <w:szCs w:val="23"/>
          <w:lang w:eastAsia="es-PE"/>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837A2F">
        <w:rPr>
          <w:rFonts w:ascii="Tahoma" w:hAnsi="Tahoma" w:cs="Tahoma"/>
          <w:sz w:val="22"/>
          <w:szCs w:val="22"/>
        </w:rPr>
        <w:t>Es materia del presente procedimiento administrativo sancionador, la supuesta responsabilidad de</w:t>
      </w:r>
      <w:r>
        <w:rPr>
          <w:rFonts w:ascii="Tahoma" w:hAnsi="Tahoma" w:cs="Tahoma"/>
          <w:sz w:val="22"/>
          <w:szCs w:val="22"/>
        </w:rPr>
        <w:t xml:space="preserve"> la Contratista</w:t>
      </w:r>
      <w:r>
        <w:rPr>
          <w:rFonts w:ascii="Tahoma" w:eastAsia="MS Mincho" w:hAnsi="Tahoma" w:cs="Tahoma"/>
          <w:sz w:val="22"/>
          <w:szCs w:val="22"/>
        </w:rPr>
        <w:t>, por</w:t>
      </w:r>
      <w:r w:rsidRPr="008963B8">
        <w:rPr>
          <w:rFonts w:ascii="Tahoma" w:eastAsia="MS Mincho" w:hAnsi="Tahoma" w:cs="Tahoma"/>
          <w:sz w:val="22"/>
          <w:szCs w:val="22"/>
        </w:rPr>
        <w:t xml:space="preserve"> haber dado lugar a la resolución del </w:t>
      </w:r>
      <w:r w:rsidRPr="008963B8">
        <w:rPr>
          <w:rFonts w:ascii="Tahoma" w:hAnsi="Tahoma" w:cs="Tahoma"/>
          <w:sz w:val="22"/>
          <w:szCs w:val="22"/>
        </w:rPr>
        <w:t>CONTRATO DE BIENES Nº 028-2010-GR.LAMB “ADQUISICIÓN DE CEMENTO PORTLAND TIPO I”</w:t>
      </w:r>
      <w:r>
        <w:rPr>
          <w:rFonts w:ascii="Tahoma" w:hAnsi="Tahoma" w:cs="Tahoma"/>
          <w:sz w:val="22"/>
          <w:szCs w:val="22"/>
        </w:rPr>
        <w:t>, el cual fue materia de la Adjudicación de Menor Cuantía por Subasta Inversa Electrónica Nº 009-2010-GR.LAMB</w:t>
      </w:r>
      <w:r w:rsidRPr="008527FE">
        <w:rPr>
          <w:rFonts w:ascii="Tahoma" w:hAnsi="Tahoma" w:cs="Tahoma"/>
          <w:sz w:val="22"/>
          <w:szCs w:val="22"/>
        </w:rPr>
        <w:t xml:space="preserve">, infracción </w:t>
      </w:r>
      <w:r w:rsidRPr="008527FE">
        <w:rPr>
          <w:rFonts w:ascii="Tahoma" w:eastAsia="MS Mincho" w:hAnsi="Tahoma" w:cs="Tahoma"/>
          <w:sz w:val="22"/>
          <w:szCs w:val="22"/>
        </w:rPr>
        <w:t xml:space="preserve">tipificada en el literal b) del numeral 51.1 del artículo 51 de la Ley de Contrataciones del Estado, aprobado mediante Decreto Legislativo Nº 1017, en adelante la Ley, y el literal b) del numeral 1 del artículo 237 del Reglamento de la Ley de Contrataciones del Estado, aprobado mediante Decreto Supremo Nº 184-2008-EF, en adelante el Reglamento, </w:t>
      </w:r>
      <w:r w:rsidRPr="008527FE">
        <w:rPr>
          <w:rFonts w:ascii="Tahoma" w:hAnsi="Tahoma" w:cs="Tahoma"/>
          <w:sz w:val="22"/>
          <w:szCs w:val="22"/>
        </w:rPr>
        <w:t>normas vigentes al momento de suscitarse los hechos imputados.</w:t>
      </w:r>
    </w:p>
    <w:p w:rsidR="00D96478" w:rsidRDefault="00D96478" w:rsidP="00D96478">
      <w:pPr>
        <w:ind w:left="567" w:right="-1"/>
        <w:jc w:val="both"/>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8527FE">
        <w:rPr>
          <w:rFonts w:ascii="Tahoma" w:hAnsi="Tahoma" w:cs="Tahoma"/>
          <w:sz w:val="22"/>
          <w:szCs w:val="22"/>
        </w:rPr>
        <w:t>Al respecto, dicha infracción establece como supuesto de hecho indispensable para su configuración, la resolución del contrato, orden de compra o de servicios, según corresponda, por causal atribuible al contratista.</w:t>
      </w:r>
    </w:p>
    <w:p w:rsidR="00D96478" w:rsidRDefault="00D96478" w:rsidP="00D96478">
      <w:pPr>
        <w:ind w:right="-1"/>
        <w:jc w:val="both"/>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E00A4D">
        <w:rPr>
          <w:rFonts w:ascii="Tahoma" w:hAnsi="Tahoma" w:cs="Tahoma"/>
          <w:sz w:val="22"/>
          <w:szCs w:val="22"/>
        </w:rPr>
        <w:t>En tal sentido, el artículo 168 del Reglamento dispone que la Entidad podrá resolver el contrato, de conformidad con el inciso c) del artículo 40 de la Ley cuando el contratista incumpla injustificadamente las obligaciones contractuales, legales o reglamentarias a su cargo, pese a haber sido requerido para ello.</w:t>
      </w:r>
    </w:p>
    <w:p w:rsidR="00D96478" w:rsidRDefault="00D96478" w:rsidP="00D96478">
      <w:pPr>
        <w:pStyle w:val="Prrafodelista"/>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E00A4D">
        <w:rPr>
          <w:rFonts w:ascii="Tahoma" w:hAnsi="Tahoma" w:cs="Tahoma"/>
          <w:sz w:val="22"/>
          <w:szCs w:val="22"/>
        </w:rPr>
        <w:t xml:space="preserve">El procedimiento de resolución contractual, cuya observancia es condición necesaria para evaluar la existencia de eventuales responsabilidades de carácter </w:t>
      </w:r>
      <w:r w:rsidRPr="00E00A4D">
        <w:rPr>
          <w:rFonts w:ascii="Tahoma" w:hAnsi="Tahoma" w:cs="Tahoma"/>
          <w:sz w:val="22"/>
          <w:szCs w:val="22"/>
        </w:rPr>
        <w:lastRenderedPageBreak/>
        <w:t xml:space="preserve">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días, bajo apercibimiento de resolver el contrato. Dependiendo del monto involucrado y de la complejidad, envergadura o sofisticación de la adquisición o contratación, la Entidad podrá establecer plazos mayores, los cuales no superarán en ningún caso los quince días. De continuar el incumplimiento contractual, la citada disposición reglamentaria precisa que la parte perjudicada comunicará notarialmente la resolución total o parcial del contrato. </w:t>
      </w:r>
    </w:p>
    <w:p w:rsidR="00D96478" w:rsidRDefault="00D96478" w:rsidP="00D96478">
      <w:pPr>
        <w:pStyle w:val="Prrafodelista"/>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4E70E2">
        <w:rPr>
          <w:rFonts w:ascii="Tahoma" w:hAnsi="Tahoma" w:cs="Tahoma"/>
          <w:sz w:val="22"/>
          <w:szCs w:val="22"/>
        </w:rPr>
        <w:t xml:space="preserve">Ahora bien, del examen de la documentación obrante en autos, se advierte que, a través de la </w:t>
      </w:r>
      <w:r>
        <w:rPr>
          <w:rFonts w:ascii="Tahoma" w:hAnsi="Tahoma" w:cs="Tahoma"/>
          <w:sz w:val="22"/>
          <w:szCs w:val="22"/>
        </w:rPr>
        <w:t>Carta Notarial Nº 1077 diligenciada notarialmente el 08 de julio del 2010, se le concedió a la Contratista un plazo de 05 días hábiles, a fin que cumpla con sus obligaciones contractuales, bajo apercibimiento de resolver el contrato.</w:t>
      </w:r>
    </w:p>
    <w:p w:rsidR="00D96478" w:rsidRPr="004E70E2" w:rsidRDefault="00D96478" w:rsidP="00D96478">
      <w:pPr>
        <w:ind w:right="-1"/>
        <w:jc w:val="both"/>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E00A4D">
        <w:rPr>
          <w:rFonts w:ascii="Tahoma" w:hAnsi="Tahoma" w:cs="Tahoma"/>
          <w:sz w:val="22"/>
          <w:szCs w:val="22"/>
        </w:rPr>
        <w:t xml:space="preserve">Al persistir el incumplimiento, </w:t>
      </w:r>
      <w:r>
        <w:rPr>
          <w:rFonts w:ascii="Tahoma" w:hAnsi="Tahoma" w:cs="Tahoma"/>
          <w:sz w:val="22"/>
          <w:szCs w:val="22"/>
        </w:rPr>
        <w:t>mediante Carta Notarial Nº 2709</w:t>
      </w:r>
      <w:r w:rsidRPr="00832CBD">
        <w:rPr>
          <w:rFonts w:ascii="Tahoma" w:hAnsi="Tahoma" w:cs="Tahoma"/>
          <w:sz w:val="22"/>
          <w:szCs w:val="22"/>
        </w:rPr>
        <w:t xml:space="preserve"> notificada vía notarial el </w:t>
      </w:r>
      <w:r>
        <w:rPr>
          <w:rFonts w:ascii="Tahoma" w:hAnsi="Tahoma" w:cs="Tahoma"/>
          <w:sz w:val="22"/>
          <w:szCs w:val="22"/>
        </w:rPr>
        <w:t>30 de julio del 2010</w:t>
      </w:r>
      <w:r w:rsidRPr="00832CBD">
        <w:rPr>
          <w:rFonts w:ascii="Tahoma" w:hAnsi="Tahoma" w:cs="Tahoma"/>
          <w:sz w:val="22"/>
          <w:szCs w:val="22"/>
        </w:rPr>
        <w:t xml:space="preserve">, la Entidad </w:t>
      </w:r>
      <w:r>
        <w:rPr>
          <w:rFonts w:ascii="Tahoma" w:hAnsi="Tahoma" w:cs="Tahoma"/>
          <w:sz w:val="22"/>
          <w:szCs w:val="22"/>
        </w:rPr>
        <w:t>resolvió el CONTRATO DE BIENES Nº 028-2010-GR.LAMB “ADQUISICIÓN DE CEMENTO PORTLAND TIPO I” por el incumplimiento de las obligaciones contractuales por parte de la Contratista.</w:t>
      </w:r>
    </w:p>
    <w:p w:rsidR="00D96478" w:rsidRDefault="00D96478" w:rsidP="00D96478">
      <w:pPr>
        <w:pStyle w:val="Prrafodelista"/>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3F4AB7">
        <w:rPr>
          <w:rFonts w:ascii="Tahoma" w:hAnsi="Tahoma" w:cs="Tahoma"/>
          <w:sz w:val="22"/>
          <w:szCs w:val="22"/>
        </w:rPr>
        <w:t>En razón de lo expuesto, se ha acreditado que la Entidad requirió válidamente a</w:t>
      </w:r>
      <w:r>
        <w:rPr>
          <w:rFonts w:ascii="Tahoma" w:hAnsi="Tahoma" w:cs="Tahoma"/>
          <w:sz w:val="22"/>
          <w:szCs w:val="22"/>
        </w:rPr>
        <w:t xml:space="preserve"> </w:t>
      </w:r>
      <w:r w:rsidRPr="003F4AB7">
        <w:rPr>
          <w:rFonts w:ascii="Tahoma" w:hAnsi="Tahoma" w:cs="Tahoma"/>
          <w:sz w:val="22"/>
          <w:szCs w:val="22"/>
        </w:rPr>
        <w:t>l</w:t>
      </w:r>
      <w:r>
        <w:rPr>
          <w:rFonts w:ascii="Tahoma" w:hAnsi="Tahoma" w:cs="Tahoma"/>
          <w:sz w:val="22"/>
          <w:szCs w:val="22"/>
        </w:rPr>
        <w:t>a Contratista</w:t>
      </w:r>
      <w:r w:rsidRPr="003F4AB7">
        <w:rPr>
          <w:rFonts w:ascii="Tahoma" w:hAnsi="Tahoma" w:cs="Tahoma"/>
          <w:sz w:val="22"/>
          <w:szCs w:val="22"/>
        </w:rPr>
        <w:t xml:space="preserve"> para que ejecute las prestaciones a su cargo, de acuerdo con el procedimiento previsto en el artículo 169 del Reglamento, con lo cual ha quedado resuelto de pleno derecho el contrato, tanto más, teniendo en consideración que según lo informad</w:t>
      </w:r>
      <w:r>
        <w:rPr>
          <w:rFonts w:ascii="Tahoma" w:hAnsi="Tahoma" w:cs="Tahoma"/>
          <w:sz w:val="22"/>
          <w:szCs w:val="22"/>
        </w:rPr>
        <w:t>o a esta instancia, la Contratista</w:t>
      </w:r>
      <w:r w:rsidRPr="003F4AB7">
        <w:rPr>
          <w:rFonts w:ascii="Tahoma" w:hAnsi="Tahoma" w:cs="Tahoma"/>
          <w:sz w:val="22"/>
          <w:szCs w:val="22"/>
        </w:rPr>
        <w:t xml:space="preserve"> no ha objetado sus efectos utilizando los mecanismos de solución de controversia, es decir conciliación y/o arbitraje.</w:t>
      </w:r>
    </w:p>
    <w:p w:rsidR="00D96478" w:rsidRDefault="00D96478" w:rsidP="00D96478">
      <w:pPr>
        <w:pStyle w:val="Prrafodelista"/>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3F4AB7">
        <w:rPr>
          <w:rFonts w:ascii="Tahoma" w:hAnsi="Tahoma" w:cs="Tahoma"/>
          <w:sz w:val="22"/>
          <w:szCs w:val="22"/>
        </w:rPr>
        <w:t>En segundo lugar,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 de la Ley № 27444,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D96478" w:rsidRDefault="00D96478" w:rsidP="00D96478">
      <w:pPr>
        <w:pStyle w:val="Prrafodelista"/>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3F4AB7">
        <w:rPr>
          <w:rFonts w:ascii="Tahoma" w:hAnsi="Tahoma" w:cs="Tahoma"/>
          <w:sz w:val="22"/>
          <w:szCs w:val="22"/>
        </w:rPr>
        <w:t xml:space="preserve">En ese sentido, cabe anotar que existe una presunción legal de que el incumplimiento de obligaciones o su cumplimiento parcial, tardío o defectuoso, es atribuible a la parte que debió ejecutarlas, salvo que ésta demuestre que el </w:t>
      </w:r>
      <w:r w:rsidRPr="003F4AB7">
        <w:rPr>
          <w:rFonts w:ascii="Tahoma" w:hAnsi="Tahoma" w:cs="Tahoma"/>
          <w:sz w:val="22"/>
          <w:szCs w:val="22"/>
        </w:rPr>
        <w:lastRenderedPageBreak/>
        <w:t>incumplimiento se produjo, a pesar de haber actuado con la diligencia ordinaria exigida por la naturaleza de la prestación, o que la causa de ella fue un caso fortuito o fuerza mayor</w:t>
      </w:r>
      <w:r w:rsidRPr="0019114C">
        <w:rPr>
          <w:rStyle w:val="Refdenotaalpie"/>
          <w:rFonts w:ascii="Tahoma" w:hAnsi="Tahoma" w:cs="Tahoma"/>
          <w:sz w:val="22"/>
          <w:szCs w:val="22"/>
        </w:rPr>
        <w:footnoteReference w:id="2"/>
      </w:r>
      <w:r w:rsidRPr="003F4AB7">
        <w:rPr>
          <w:rFonts w:ascii="Tahoma" w:hAnsi="Tahoma" w:cs="Tahoma"/>
          <w:sz w:val="22"/>
          <w:szCs w:val="22"/>
        </w:rPr>
        <w:t>.</w:t>
      </w:r>
    </w:p>
    <w:p w:rsidR="00D96478" w:rsidRDefault="00D96478" w:rsidP="00D96478">
      <w:pPr>
        <w:pStyle w:val="Prrafodelista"/>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Pr>
          <w:rFonts w:ascii="Tahoma" w:hAnsi="Tahoma" w:cs="Tahoma"/>
          <w:sz w:val="22"/>
          <w:szCs w:val="22"/>
        </w:rPr>
        <w:t>Respecto a ello, cabe precisar que la Contratista presentó sus descargos en el cual argumentó que a consecuencia del incremento del precio del Cemento Potland Tipo I, la misma que el 17 de mayo del 2010, fecha de celebración del contrato,</w:t>
      </w:r>
      <w:r w:rsidRPr="00AC7318">
        <w:rPr>
          <w:rFonts w:ascii="Tahoma" w:hAnsi="Tahoma" w:cs="Tahoma"/>
          <w:sz w:val="22"/>
          <w:szCs w:val="22"/>
        </w:rPr>
        <w:t xml:space="preserve"> </w:t>
      </w:r>
      <w:r>
        <w:rPr>
          <w:rFonts w:ascii="Tahoma" w:hAnsi="Tahoma" w:cs="Tahoma"/>
          <w:sz w:val="22"/>
          <w:szCs w:val="22"/>
        </w:rPr>
        <w:t>estuvo situada en S/. 17.55 por bolsa, mientras que el 07 de junio del 2010 llegó a elevarse a S/. 17.8024 por bolsa, solicitaron a la Entidad el reconocimiento de un reajuste y proponiendo modificar el contrato mediante una adenda, no obstante ello, la Entidad no tuvo en consideración dicha circunstancia.</w:t>
      </w:r>
    </w:p>
    <w:p w:rsidR="00D96478" w:rsidRPr="00A92D31" w:rsidRDefault="00D96478" w:rsidP="00D96478">
      <w:pPr>
        <w:rPr>
          <w:rFonts w:ascii="Tahoma" w:hAnsi="Tahoma" w:cs="Tahoma"/>
          <w:sz w:val="22"/>
          <w:szCs w:val="22"/>
        </w:rPr>
      </w:pPr>
    </w:p>
    <w:p w:rsidR="00D96478" w:rsidRPr="00267132" w:rsidRDefault="00D96478" w:rsidP="00D96478">
      <w:pPr>
        <w:ind w:left="567"/>
        <w:jc w:val="both"/>
        <w:rPr>
          <w:rFonts w:ascii="Tahoma" w:hAnsi="Tahoma" w:cs="Tahoma"/>
          <w:sz w:val="22"/>
          <w:szCs w:val="22"/>
        </w:rPr>
      </w:pPr>
      <w:r w:rsidRPr="00267132">
        <w:rPr>
          <w:rFonts w:ascii="Tahoma" w:hAnsi="Tahoma" w:cs="Tahoma"/>
          <w:sz w:val="22"/>
          <w:szCs w:val="22"/>
        </w:rPr>
        <w:t xml:space="preserve">Asimismo, señalo que la Entidad no actuó acorde con el principio de </w:t>
      </w:r>
      <w:r>
        <w:rPr>
          <w:rFonts w:ascii="Tahoma" w:hAnsi="Tahoma" w:cs="Tahoma"/>
          <w:sz w:val="22"/>
          <w:szCs w:val="22"/>
        </w:rPr>
        <w:t>Buena Fe, toda vez</w:t>
      </w:r>
      <w:r w:rsidRPr="00267132">
        <w:rPr>
          <w:rFonts w:ascii="Tahoma" w:hAnsi="Tahoma" w:cs="Tahoma"/>
          <w:sz w:val="22"/>
          <w:szCs w:val="22"/>
        </w:rPr>
        <w:t xml:space="preserve"> que en las Bases ha incluido la proforma de un contrato y, al momento de celebrar el contrato, se ha suscrito uno diferente, toda vez que no se incluyo la clausula referido a “QUE LA ENTIDAD SE SUJETARÁ AL FLUJO DE PRECIOS QUE DISPONGA EL MERCADO NACIONAL Y EL MINISTERIO DE ENERGIA Y MINAS, CASO DE VARIAR EL PRECIO”.</w:t>
      </w:r>
    </w:p>
    <w:p w:rsidR="00D96478" w:rsidRDefault="00D96478" w:rsidP="00D96478">
      <w:pPr>
        <w:ind w:left="567" w:right="-1"/>
        <w:jc w:val="both"/>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E439D1">
        <w:rPr>
          <w:rFonts w:ascii="Tahoma" w:hAnsi="Tahoma" w:cs="Tahoma"/>
          <w:sz w:val="22"/>
          <w:szCs w:val="22"/>
        </w:rPr>
        <w:t>Respecto, de lo señalado por la Contratista, cabe precisar que entre los principios que rigen las contrataciones del estado, se encuentra el Principio de Equidad que está regulada en el literal l) del artículo 4 de la Ley, la cual establece que las prestaciones y derechos de las partes deberán guardar una razonable relación de equivalencia y proporcionalidad con las Entidad en condiciones semejantes.</w:t>
      </w:r>
    </w:p>
    <w:p w:rsidR="00D96478" w:rsidRPr="00D760E9" w:rsidRDefault="00D96478" w:rsidP="00D96478">
      <w:pPr>
        <w:ind w:left="567"/>
        <w:jc w:val="both"/>
        <w:rPr>
          <w:rFonts w:ascii="Tahoma" w:hAnsi="Tahoma" w:cs="Tahoma"/>
          <w:sz w:val="22"/>
          <w:szCs w:val="22"/>
        </w:rPr>
      </w:pPr>
    </w:p>
    <w:p w:rsidR="00D96478" w:rsidRPr="00D760E9" w:rsidRDefault="00D96478" w:rsidP="00D96478">
      <w:pPr>
        <w:ind w:left="567"/>
        <w:jc w:val="both"/>
        <w:rPr>
          <w:rFonts w:ascii="Tahoma" w:hAnsi="Tahoma" w:cs="Tahoma"/>
          <w:sz w:val="22"/>
          <w:szCs w:val="22"/>
        </w:rPr>
      </w:pPr>
      <w:r w:rsidRPr="00D760E9">
        <w:rPr>
          <w:rFonts w:ascii="Tahoma" w:hAnsi="Tahoma" w:cs="Tahoma"/>
          <w:sz w:val="22"/>
          <w:szCs w:val="22"/>
        </w:rPr>
        <w:t>Ahora bien, dicho principio está estrechamente relacionado con el mantenimiento de la ecuación económico-financiera, el mismo que a decir de Roberto Dromi, hace referencia a que “</w:t>
      </w:r>
      <w:r w:rsidRPr="00D760E9">
        <w:rPr>
          <w:rFonts w:ascii="Tahoma" w:hAnsi="Tahoma" w:cs="Tahoma"/>
          <w:i/>
          <w:sz w:val="22"/>
          <w:szCs w:val="22"/>
        </w:rPr>
        <w:t>Cuando el contratista estima su precio y lo manifiesta en su oferta, lo hace teniendo en cuenta la situación económica – financiera existente en el momento de presentar su propuesta. Pero puede ocurrir que tal situación se vea afectada por causas imputables a la Administración o por causas ajenas a ella, las cuales viene a modificar el equilibrio económico financiero originario</w:t>
      </w:r>
      <w:r w:rsidRPr="00D760E9">
        <w:rPr>
          <w:rFonts w:ascii="Tahoma" w:hAnsi="Tahoma" w:cs="Tahoma"/>
          <w:sz w:val="22"/>
          <w:szCs w:val="22"/>
        </w:rPr>
        <w:t>”; asimismo, d</w:t>
      </w:r>
      <w:r>
        <w:rPr>
          <w:rFonts w:ascii="Tahoma" w:hAnsi="Tahoma" w:cs="Tahoma"/>
          <w:sz w:val="22"/>
          <w:szCs w:val="22"/>
        </w:rPr>
        <w:t>icho autor también señala que</w:t>
      </w:r>
      <w:r w:rsidRPr="00D760E9">
        <w:rPr>
          <w:rFonts w:ascii="Tahoma" w:hAnsi="Tahoma" w:cs="Tahoma"/>
          <w:sz w:val="22"/>
          <w:szCs w:val="22"/>
        </w:rPr>
        <w:t xml:space="preserve"> “</w:t>
      </w:r>
      <w:r>
        <w:rPr>
          <w:rFonts w:ascii="Tahoma" w:hAnsi="Tahoma" w:cs="Tahoma"/>
          <w:i/>
          <w:sz w:val="22"/>
          <w:szCs w:val="22"/>
        </w:rPr>
        <w:t xml:space="preserve">tales situaciones, el contratista tendrá derecho primordial y básico a que dicho equilibrio sea restablecido, manteniendo de esta manera la ecuación financiera del contrato. Asi, se ha admitido la modificación de cláusulas de mayores costos frente a </w:t>
      </w:r>
      <w:r>
        <w:rPr>
          <w:rFonts w:ascii="Tahoma" w:hAnsi="Tahoma" w:cs="Tahoma"/>
          <w:i/>
          <w:sz w:val="22"/>
          <w:szCs w:val="22"/>
        </w:rPr>
        <w:lastRenderedPageBreak/>
        <w:t>circunstancias sobrevinientes o imprevistas al contratar, entendiendo que con ello no se violaba la igualdad del procedimiento, en tanto no se acordaba un beneficio graciosos, sino que era el resultado de la aplicación de los principios jurídicos y de disposiciones legales pertinentes a tales circunstancias.</w:t>
      </w:r>
      <w:r w:rsidRPr="00D760E9">
        <w:rPr>
          <w:rFonts w:ascii="Tahoma" w:hAnsi="Tahoma" w:cs="Tahoma"/>
          <w:sz w:val="22"/>
          <w:szCs w:val="22"/>
        </w:rPr>
        <w:t>”</w:t>
      </w:r>
      <w:r w:rsidRPr="00D760E9">
        <w:rPr>
          <w:rStyle w:val="Refdenotaalpie"/>
          <w:rFonts w:ascii="Tahoma" w:hAnsi="Tahoma" w:cs="Tahoma"/>
          <w:sz w:val="22"/>
          <w:szCs w:val="22"/>
        </w:rPr>
        <w:footnoteReference w:id="3"/>
      </w:r>
      <w:r w:rsidRPr="00D760E9">
        <w:rPr>
          <w:rFonts w:ascii="Tahoma" w:hAnsi="Tahoma" w:cs="Tahoma"/>
          <w:sz w:val="22"/>
          <w:szCs w:val="22"/>
        </w:rPr>
        <w:t>.</w:t>
      </w:r>
    </w:p>
    <w:p w:rsidR="00D96478" w:rsidRDefault="00D96478" w:rsidP="00D96478">
      <w:pPr>
        <w:jc w:val="both"/>
        <w:rPr>
          <w:rFonts w:ascii="Tahoma" w:hAnsi="Tahoma" w:cs="Tahoma"/>
          <w:sz w:val="22"/>
          <w:szCs w:val="22"/>
        </w:rPr>
      </w:pPr>
    </w:p>
    <w:p w:rsidR="00D96478" w:rsidRPr="00F85F5B" w:rsidRDefault="00D96478" w:rsidP="00D96478">
      <w:pPr>
        <w:numPr>
          <w:ilvl w:val="0"/>
          <w:numId w:val="4"/>
        </w:numPr>
        <w:tabs>
          <w:tab w:val="clear" w:pos="454"/>
        </w:tabs>
        <w:ind w:left="567" w:right="-1" w:hanging="567"/>
        <w:jc w:val="both"/>
        <w:rPr>
          <w:rFonts w:ascii="Tahoma" w:hAnsi="Tahoma" w:cs="Tahoma"/>
          <w:sz w:val="22"/>
          <w:szCs w:val="22"/>
        </w:rPr>
      </w:pPr>
      <w:r>
        <w:rPr>
          <w:rFonts w:ascii="Tahoma" w:hAnsi="Tahoma" w:cs="Tahoma"/>
          <w:sz w:val="22"/>
          <w:szCs w:val="22"/>
        </w:rPr>
        <w:t xml:space="preserve">De todo ello, este Colegiado considera que una de las causales por la cual se puede considerar que la resolución del contrato se dio por causa no atribule al contratista, es cuando se ha demostrado de manera irrefutable que el cumplimiento de sus obligaciones contractuales se torna imposible por la modificación del equilibrio económico financiero por causas ajenas a la partes, como en el caso de aumentos de precios, los mismos que generan que una de las partes, en este caso el contratista, no salga beneficiada </w:t>
      </w:r>
      <w:r>
        <w:rPr>
          <w:rFonts w:ascii="Tahoma" w:hAnsi="Tahoma" w:cs="Tahoma"/>
        </w:rPr>
        <w:t>por la</w:t>
      </w:r>
      <w:r w:rsidRPr="00255F49">
        <w:rPr>
          <w:rFonts w:ascii="Tahoma" w:hAnsi="Tahoma" w:cs="Tahoma"/>
        </w:rPr>
        <w:t xml:space="preserve"> relación contractual</w:t>
      </w:r>
      <w:r>
        <w:rPr>
          <w:rFonts w:ascii="Tahoma" w:hAnsi="Tahoma" w:cs="Tahoma"/>
        </w:rPr>
        <w:t>, toda vez que el cumplimiento de dichas obligaciones le generaría perjuicios económicos</w:t>
      </w:r>
      <w:r w:rsidRPr="00255F49">
        <w:rPr>
          <w:rFonts w:ascii="Tahoma" w:hAnsi="Tahoma" w:cs="Tahoma"/>
        </w:rPr>
        <w:t xml:space="preserve">, </w:t>
      </w:r>
      <w:r>
        <w:rPr>
          <w:rFonts w:ascii="Tahoma" w:hAnsi="Tahoma" w:cs="Tahoma"/>
        </w:rPr>
        <w:t xml:space="preserve">por lo que cabe reiterar que </w:t>
      </w:r>
      <w:r w:rsidRPr="00255F49">
        <w:rPr>
          <w:rFonts w:ascii="Tahoma" w:hAnsi="Tahoma" w:cs="Tahoma"/>
        </w:rPr>
        <w:t>ambas partes deben guardar un equilibrio entre sus obligaciones y derechos de tal modo que exista un equilibrio económico financiero.</w:t>
      </w:r>
    </w:p>
    <w:p w:rsidR="00D96478" w:rsidRPr="00F85F5B" w:rsidRDefault="00D96478" w:rsidP="00D96478">
      <w:pPr>
        <w:ind w:left="567" w:right="-1"/>
        <w:jc w:val="both"/>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Pr>
          <w:rFonts w:ascii="Tahoma" w:hAnsi="Tahoma" w:cs="Tahoma"/>
          <w:sz w:val="22"/>
          <w:szCs w:val="22"/>
        </w:rPr>
        <w:t>Ahora bien, cabe precisar que la Contratista no ha presentado documento alguno que permita a este Tribunal verificar que existió un aumento del precio del Cemento Portland Tipo I que habría generado la imposibilidad del cumplimiento de sus obligaciones contractuales.</w:t>
      </w:r>
    </w:p>
    <w:p w:rsidR="00D96478" w:rsidRDefault="00D96478" w:rsidP="00D96478">
      <w:pPr>
        <w:pStyle w:val="Prrafodelista"/>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Pr>
          <w:rFonts w:ascii="Tahoma" w:hAnsi="Tahoma" w:cs="Tahoma"/>
          <w:sz w:val="22"/>
          <w:szCs w:val="22"/>
        </w:rPr>
        <w:t>No obstante lo señalado anteriormente,</w:t>
      </w:r>
      <w:r w:rsidRPr="00B9265C">
        <w:rPr>
          <w:rFonts w:ascii="Tahoma" w:hAnsi="Tahoma" w:cs="Tahoma"/>
          <w:sz w:val="22"/>
          <w:szCs w:val="22"/>
        </w:rPr>
        <w:t xml:space="preserve"> en virtud del Principio de Impulso de Oficio y de Verdad Material contenidos en el artículo IV de la Ley Nº 27444, Ley de Procedimiento Administrativo General, este Colegiado solicitó a la</w:t>
      </w:r>
      <w:r>
        <w:rPr>
          <w:rFonts w:ascii="Tahoma" w:hAnsi="Tahoma" w:cs="Tahoma"/>
          <w:sz w:val="22"/>
          <w:szCs w:val="22"/>
        </w:rPr>
        <w:t xml:space="preserve"> Dirección Técnica de Indicadores Económicos del Instituto Nacional de Estadísticas e Informáticas, que remita el Índice mensual del Precio Promedio de material de Construcción correspondiente al Cemento Portland Tipo I, que se habría producido los años 2009 y 2010, la misma que a través del Oficio Nº 062-2011-INEI/DTIE de fecha 23 de marzo del 2011, indicó lo siguiente:</w:t>
      </w:r>
    </w:p>
    <w:p w:rsidR="00D96478" w:rsidRDefault="00D96478" w:rsidP="00D96478">
      <w:pPr>
        <w:rPr>
          <w:rFonts w:ascii="Tahoma" w:hAnsi="Tahoma" w:cs="Tahoma"/>
          <w:sz w:val="22"/>
          <w:szCs w:val="22"/>
        </w:rPr>
      </w:pPr>
    </w:p>
    <w:p w:rsidR="00D96478" w:rsidRDefault="00D96478" w:rsidP="00D96478">
      <w:pPr>
        <w:rPr>
          <w:rFonts w:ascii="Tahoma" w:hAnsi="Tahoma" w:cs="Tahoma"/>
          <w:sz w:val="22"/>
          <w:szCs w:val="22"/>
        </w:rPr>
      </w:pPr>
    </w:p>
    <w:p w:rsidR="00D96478" w:rsidRDefault="00D96478" w:rsidP="00D96478">
      <w:pPr>
        <w:rPr>
          <w:rFonts w:ascii="Tahoma" w:hAnsi="Tahoma" w:cs="Tahoma"/>
          <w:sz w:val="22"/>
          <w:szCs w:val="22"/>
        </w:rPr>
      </w:pPr>
    </w:p>
    <w:p w:rsidR="00D96478" w:rsidRDefault="00D96478" w:rsidP="00D96478">
      <w:pPr>
        <w:rPr>
          <w:rFonts w:ascii="Tahoma" w:hAnsi="Tahoma" w:cs="Tahoma"/>
          <w:sz w:val="22"/>
          <w:szCs w:val="22"/>
        </w:rPr>
      </w:pPr>
    </w:p>
    <w:p w:rsidR="00D96478" w:rsidRDefault="00D96478" w:rsidP="00D96478">
      <w:pPr>
        <w:rPr>
          <w:rFonts w:ascii="Tahoma" w:hAnsi="Tahoma" w:cs="Tahoma"/>
          <w:sz w:val="22"/>
          <w:szCs w:val="22"/>
        </w:rPr>
      </w:pPr>
    </w:p>
    <w:p w:rsidR="00D96478" w:rsidRDefault="00D96478" w:rsidP="00D96478">
      <w:pPr>
        <w:rPr>
          <w:rFonts w:ascii="Tahoma" w:hAnsi="Tahoma" w:cs="Tahoma"/>
          <w:sz w:val="22"/>
          <w:szCs w:val="22"/>
        </w:rPr>
      </w:pPr>
    </w:p>
    <w:p w:rsidR="00D96478" w:rsidRDefault="00D96478" w:rsidP="00D96478">
      <w:pPr>
        <w:rPr>
          <w:rFonts w:ascii="Tahoma" w:hAnsi="Tahoma" w:cs="Tahoma"/>
          <w:sz w:val="22"/>
          <w:szCs w:val="22"/>
        </w:rPr>
      </w:pPr>
    </w:p>
    <w:p w:rsidR="00D96478" w:rsidRDefault="00D96478" w:rsidP="00D96478">
      <w:pPr>
        <w:rPr>
          <w:rFonts w:ascii="Tahoma" w:hAnsi="Tahoma" w:cs="Tahoma"/>
          <w:sz w:val="22"/>
          <w:szCs w:val="22"/>
        </w:rPr>
      </w:pPr>
    </w:p>
    <w:p w:rsidR="00D96478" w:rsidRDefault="00D96478" w:rsidP="00D96478">
      <w:pPr>
        <w:rPr>
          <w:rFonts w:ascii="Tahoma" w:hAnsi="Tahoma" w:cs="Tahoma"/>
          <w:sz w:val="22"/>
          <w:szCs w:val="22"/>
        </w:rPr>
      </w:pPr>
    </w:p>
    <w:p w:rsidR="00D96478" w:rsidRDefault="00D96478" w:rsidP="00D96478">
      <w:pPr>
        <w:rPr>
          <w:rFonts w:ascii="Tahoma" w:hAnsi="Tahoma" w:cs="Tahoma"/>
          <w:sz w:val="22"/>
          <w:szCs w:val="22"/>
        </w:rPr>
      </w:pPr>
    </w:p>
    <w:p w:rsidR="00D96478" w:rsidRPr="00DE1F51" w:rsidRDefault="00D96478" w:rsidP="00D96478">
      <w:pPr>
        <w:ind w:right="-1"/>
        <w:jc w:val="center"/>
        <w:rPr>
          <w:rFonts w:ascii="Tahoma" w:hAnsi="Tahoma" w:cs="Tahoma"/>
          <w:i/>
          <w:sz w:val="18"/>
          <w:szCs w:val="18"/>
        </w:rPr>
      </w:pPr>
      <w:r w:rsidRPr="00DE1F51">
        <w:rPr>
          <w:rFonts w:ascii="Tahoma" w:hAnsi="Tahoma" w:cs="Tahoma"/>
          <w:i/>
          <w:sz w:val="18"/>
          <w:szCs w:val="18"/>
        </w:rPr>
        <w:lastRenderedPageBreak/>
        <w:t>PRECIOS PROMEDIO DE CEMENTO PORTLAND TIPO I EN EL ÍNDICE</w:t>
      </w:r>
    </w:p>
    <w:p w:rsidR="00D96478" w:rsidRPr="00DE1F51" w:rsidRDefault="00D96478" w:rsidP="00D96478">
      <w:pPr>
        <w:ind w:right="-1"/>
        <w:jc w:val="center"/>
        <w:rPr>
          <w:rFonts w:ascii="Tahoma" w:hAnsi="Tahoma" w:cs="Tahoma"/>
          <w:i/>
          <w:sz w:val="18"/>
          <w:szCs w:val="18"/>
        </w:rPr>
      </w:pPr>
      <w:r w:rsidRPr="00DE1F51">
        <w:rPr>
          <w:rFonts w:ascii="Tahoma" w:hAnsi="Tahoma" w:cs="Tahoma"/>
          <w:i/>
          <w:sz w:val="18"/>
          <w:szCs w:val="18"/>
        </w:rPr>
        <w:t>DE PRESIOS DE MATERIALES DE CONSTRUCCIÓN</w:t>
      </w:r>
    </w:p>
    <w:p w:rsidR="00D96478" w:rsidRPr="00DE1F51" w:rsidRDefault="00D96478" w:rsidP="00D96478">
      <w:pPr>
        <w:ind w:right="-1"/>
        <w:jc w:val="center"/>
        <w:rPr>
          <w:rFonts w:ascii="Tahoma" w:hAnsi="Tahoma" w:cs="Tahoma"/>
          <w:i/>
          <w:sz w:val="18"/>
          <w:szCs w:val="18"/>
        </w:rPr>
      </w:pPr>
      <w:r w:rsidRPr="00DE1F51">
        <w:rPr>
          <w:rFonts w:ascii="Tahoma" w:hAnsi="Tahoma" w:cs="Tahoma"/>
          <w:i/>
          <w:sz w:val="18"/>
          <w:szCs w:val="18"/>
        </w:rPr>
        <w:t>(En Nuevos Soles por Bolsa 42.5 kg) 1/</w:t>
      </w:r>
    </w:p>
    <w:p w:rsidR="00D96478" w:rsidRPr="00DE1F51" w:rsidRDefault="00D96478" w:rsidP="00D96478">
      <w:pPr>
        <w:ind w:right="-1"/>
        <w:jc w:val="center"/>
        <w:rPr>
          <w:rFonts w:ascii="Tahoma" w:hAnsi="Tahoma" w:cs="Tahoma"/>
          <w:i/>
          <w:sz w:val="18"/>
          <w:szCs w:val="18"/>
        </w:rPr>
      </w:pPr>
    </w:p>
    <w:tbl>
      <w:tblPr>
        <w:tblStyle w:val="Tablaconcuadrcula"/>
        <w:tblW w:w="0" w:type="auto"/>
        <w:tblInd w:w="817" w:type="dxa"/>
        <w:tblLook w:val="04A0"/>
      </w:tblPr>
      <w:tblGrid>
        <w:gridCol w:w="2268"/>
        <w:gridCol w:w="2552"/>
        <w:gridCol w:w="2551"/>
      </w:tblGrid>
      <w:tr w:rsidR="00D96478" w:rsidRPr="00DE1F51" w:rsidTr="00906E99">
        <w:tc>
          <w:tcPr>
            <w:tcW w:w="2268" w:type="dxa"/>
          </w:tcPr>
          <w:p w:rsidR="00D96478" w:rsidRPr="00446C04" w:rsidRDefault="00D96478" w:rsidP="00906E99">
            <w:pPr>
              <w:ind w:right="-1"/>
              <w:jc w:val="center"/>
              <w:rPr>
                <w:rFonts w:ascii="Tahoma" w:hAnsi="Tahoma" w:cs="Tahoma"/>
                <w:b/>
                <w:i/>
                <w:sz w:val="18"/>
                <w:szCs w:val="18"/>
              </w:rPr>
            </w:pPr>
            <w:r w:rsidRPr="00446C04">
              <w:rPr>
                <w:rFonts w:ascii="Tahoma" w:hAnsi="Tahoma" w:cs="Tahoma"/>
                <w:b/>
                <w:i/>
                <w:sz w:val="18"/>
                <w:szCs w:val="18"/>
              </w:rPr>
              <w:t>MES</w:t>
            </w:r>
          </w:p>
        </w:tc>
        <w:tc>
          <w:tcPr>
            <w:tcW w:w="2552" w:type="dxa"/>
          </w:tcPr>
          <w:p w:rsidR="00D96478" w:rsidRPr="00446C04" w:rsidRDefault="00D96478" w:rsidP="00906E99">
            <w:pPr>
              <w:ind w:right="-1"/>
              <w:jc w:val="center"/>
              <w:rPr>
                <w:rFonts w:ascii="Tahoma" w:hAnsi="Tahoma" w:cs="Tahoma"/>
                <w:b/>
                <w:i/>
                <w:sz w:val="18"/>
                <w:szCs w:val="18"/>
              </w:rPr>
            </w:pPr>
            <w:r w:rsidRPr="00446C04">
              <w:rPr>
                <w:rFonts w:ascii="Tahoma" w:hAnsi="Tahoma" w:cs="Tahoma"/>
                <w:b/>
                <w:i/>
                <w:sz w:val="18"/>
                <w:szCs w:val="18"/>
              </w:rPr>
              <w:t>2009</w:t>
            </w:r>
          </w:p>
        </w:tc>
        <w:tc>
          <w:tcPr>
            <w:tcW w:w="2551" w:type="dxa"/>
          </w:tcPr>
          <w:p w:rsidR="00D96478" w:rsidRPr="00446C04" w:rsidRDefault="00D96478" w:rsidP="00906E99">
            <w:pPr>
              <w:ind w:right="-1"/>
              <w:jc w:val="center"/>
              <w:rPr>
                <w:rFonts w:ascii="Tahoma" w:hAnsi="Tahoma" w:cs="Tahoma"/>
                <w:b/>
                <w:i/>
                <w:sz w:val="18"/>
                <w:szCs w:val="18"/>
              </w:rPr>
            </w:pPr>
            <w:r w:rsidRPr="00446C04">
              <w:rPr>
                <w:rFonts w:ascii="Tahoma" w:hAnsi="Tahoma" w:cs="Tahoma"/>
                <w:b/>
                <w:i/>
                <w:sz w:val="18"/>
                <w:szCs w:val="18"/>
              </w:rPr>
              <w:t>2010</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ENERO</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17,23</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17,46</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FEBRERO</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17,29</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17,55</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MARZO</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17,25</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17,54</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ABRIL</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17,25</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17,53</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MAYO</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17,28</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17,54</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JUNIO</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17,24</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17,54</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JULIO</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17,25</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17,54</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AGOSTO</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17,25</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17,54</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SETIEMBRE</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17,25</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17,82</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OCTUBRE</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17,30</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17,82</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NOVIEMBRE</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17,28</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17,83</w:t>
            </w:r>
          </w:p>
        </w:tc>
      </w:tr>
      <w:tr w:rsidR="00D96478" w:rsidRPr="00DE1F51" w:rsidTr="00906E99">
        <w:tc>
          <w:tcPr>
            <w:tcW w:w="2268" w:type="dxa"/>
          </w:tcPr>
          <w:p w:rsidR="00D96478" w:rsidRPr="00DE1F51" w:rsidRDefault="00D96478" w:rsidP="00906E99">
            <w:pPr>
              <w:ind w:right="-1"/>
              <w:rPr>
                <w:rFonts w:ascii="Tahoma" w:hAnsi="Tahoma" w:cs="Tahoma"/>
                <w:i/>
                <w:sz w:val="18"/>
                <w:szCs w:val="18"/>
              </w:rPr>
            </w:pPr>
            <w:r w:rsidRPr="00DE1F51">
              <w:rPr>
                <w:rFonts w:ascii="Tahoma" w:hAnsi="Tahoma" w:cs="Tahoma"/>
                <w:i/>
                <w:sz w:val="18"/>
                <w:szCs w:val="18"/>
              </w:rPr>
              <w:t>DICIEMBRE</w:t>
            </w:r>
          </w:p>
        </w:tc>
        <w:tc>
          <w:tcPr>
            <w:tcW w:w="2552"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17,29</w:t>
            </w:r>
          </w:p>
        </w:tc>
        <w:tc>
          <w:tcPr>
            <w:tcW w:w="2551" w:type="dxa"/>
          </w:tcPr>
          <w:p w:rsidR="00D96478" w:rsidRPr="00DE1F51" w:rsidRDefault="00D96478" w:rsidP="00906E99">
            <w:pPr>
              <w:ind w:right="-1"/>
              <w:jc w:val="center"/>
              <w:rPr>
                <w:rFonts w:ascii="Tahoma" w:hAnsi="Tahoma" w:cs="Tahoma"/>
                <w:i/>
                <w:sz w:val="18"/>
                <w:szCs w:val="18"/>
              </w:rPr>
            </w:pPr>
            <w:r w:rsidRPr="00DE1F51">
              <w:rPr>
                <w:rFonts w:ascii="Tahoma" w:hAnsi="Tahoma" w:cs="Tahoma"/>
                <w:i/>
                <w:sz w:val="18"/>
                <w:szCs w:val="18"/>
              </w:rPr>
              <w:t>17,86</w:t>
            </w:r>
          </w:p>
        </w:tc>
      </w:tr>
    </w:tbl>
    <w:p w:rsidR="00D96478" w:rsidRPr="00DE1F51" w:rsidRDefault="00D96478" w:rsidP="00D96478">
      <w:pPr>
        <w:ind w:right="-1"/>
        <w:jc w:val="both"/>
        <w:rPr>
          <w:rFonts w:ascii="Tahoma" w:hAnsi="Tahoma" w:cs="Tahoma"/>
          <w:i/>
          <w:sz w:val="18"/>
          <w:szCs w:val="18"/>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Pr>
          <w:rFonts w:ascii="Tahoma" w:hAnsi="Tahoma" w:cs="Tahoma"/>
          <w:sz w:val="22"/>
          <w:szCs w:val="22"/>
        </w:rPr>
        <w:t>Nótese entonces, que si bien es cierto a la fecha de convocatoria el precio promedio del Cemento Portland Tipo I estaba situada en S/. 17,53 por bolsa de 42.5 kg, unidad que hacía referencia las Bases, a la fecha de suscripción del contrato, es decir el 17 mayo del 2010, dicho precio sólo había variado en un céntimo, es decir a S/. 17,54, situación que se mantuvo hasta agosto del 2010, es decir un mes después de haberse resuelto el contrato.</w:t>
      </w:r>
    </w:p>
    <w:p w:rsidR="00D96478" w:rsidRDefault="00D96478" w:rsidP="00D96478">
      <w:pPr>
        <w:ind w:left="567" w:right="-1"/>
        <w:jc w:val="both"/>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B155F3">
        <w:rPr>
          <w:rFonts w:ascii="Tahoma" w:hAnsi="Tahoma" w:cs="Tahoma"/>
          <w:sz w:val="22"/>
          <w:szCs w:val="22"/>
        </w:rPr>
        <w:t>En tal sentido, este Colegiado considera que no existió una variación de precios del Cemento Portland Tipo I, que hiciera imposible el cumplimiento de las obligaciones contractuales por parte de la Contratista, es más, tal como se pudo verificar de la información remitida por la Dirección Técnica de Indicadores Económicos del Instituto Nacional de Estadísticas e Informáticas, el precio de dicho insumo se mantuvo constante en las fecha</w:t>
      </w:r>
      <w:r>
        <w:rPr>
          <w:rFonts w:ascii="Tahoma" w:hAnsi="Tahoma" w:cs="Tahoma"/>
          <w:sz w:val="22"/>
          <w:szCs w:val="22"/>
        </w:rPr>
        <w:t>s</w:t>
      </w:r>
      <w:r w:rsidRPr="00B155F3">
        <w:rPr>
          <w:rFonts w:ascii="Tahoma" w:hAnsi="Tahoma" w:cs="Tahoma"/>
          <w:sz w:val="22"/>
          <w:szCs w:val="22"/>
        </w:rPr>
        <w:t xml:space="preserve"> en la</w:t>
      </w:r>
      <w:r>
        <w:rPr>
          <w:rFonts w:ascii="Tahoma" w:hAnsi="Tahoma" w:cs="Tahoma"/>
          <w:sz w:val="22"/>
          <w:szCs w:val="22"/>
        </w:rPr>
        <w:t>s</w:t>
      </w:r>
      <w:r w:rsidRPr="00B155F3">
        <w:rPr>
          <w:rFonts w:ascii="Tahoma" w:hAnsi="Tahoma" w:cs="Tahoma"/>
          <w:sz w:val="22"/>
          <w:szCs w:val="22"/>
        </w:rPr>
        <w:t xml:space="preserve"> cual</w:t>
      </w:r>
      <w:r>
        <w:rPr>
          <w:rFonts w:ascii="Tahoma" w:hAnsi="Tahoma" w:cs="Tahoma"/>
          <w:sz w:val="22"/>
          <w:szCs w:val="22"/>
        </w:rPr>
        <w:t>es</w:t>
      </w:r>
      <w:r w:rsidRPr="00B155F3">
        <w:rPr>
          <w:rFonts w:ascii="Tahoma" w:hAnsi="Tahoma" w:cs="Tahoma"/>
          <w:sz w:val="22"/>
          <w:szCs w:val="22"/>
        </w:rPr>
        <w:t xml:space="preserve"> la Contratista </w:t>
      </w:r>
      <w:r>
        <w:rPr>
          <w:rFonts w:ascii="Tahoma" w:hAnsi="Tahoma" w:cs="Tahoma"/>
          <w:sz w:val="22"/>
          <w:szCs w:val="22"/>
        </w:rPr>
        <w:t>debió</w:t>
      </w:r>
      <w:r w:rsidRPr="00B155F3">
        <w:rPr>
          <w:rFonts w:ascii="Tahoma" w:hAnsi="Tahoma" w:cs="Tahoma"/>
          <w:sz w:val="22"/>
          <w:szCs w:val="22"/>
        </w:rPr>
        <w:t xml:space="preserve"> cumplir </w:t>
      </w:r>
      <w:r>
        <w:rPr>
          <w:rFonts w:ascii="Tahoma" w:hAnsi="Tahoma" w:cs="Tahoma"/>
          <w:sz w:val="22"/>
          <w:szCs w:val="22"/>
        </w:rPr>
        <w:t xml:space="preserve">con sus </w:t>
      </w:r>
      <w:r w:rsidRPr="00B155F3">
        <w:rPr>
          <w:rFonts w:ascii="Tahoma" w:hAnsi="Tahoma" w:cs="Tahoma"/>
          <w:sz w:val="22"/>
          <w:szCs w:val="22"/>
        </w:rPr>
        <w:t xml:space="preserve">obligaciones </w:t>
      </w:r>
      <w:r>
        <w:rPr>
          <w:rFonts w:ascii="Tahoma" w:hAnsi="Tahoma" w:cs="Tahoma"/>
          <w:sz w:val="22"/>
          <w:szCs w:val="22"/>
        </w:rPr>
        <w:t xml:space="preserve">e incluso </w:t>
      </w:r>
      <w:r w:rsidRPr="00B155F3">
        <w:rPr>
          <w:rFonts w:ascii="Tahoma" w:hAnsi="Tahoma" w:cs="Tahoma"/>
          <w:sz w:val="22"/>
          <w:szCs w:val="22"/>
        </w:rPr>
        <w:t xml:space="preserve">un mes después de resuelto el contrato, por lo cual, lo señalado </w:t>
      </w:r>
      <w:r>
        <w:rPr>
          <w:rFonts w:ascii="Tahoma" w:hAnsi="Tahoma" w:cs="Tahoma"/>
          <w:sz w:val="22"/>
          <w:szCs w:val="22"/>
        </w:rPr>
        <w:t>por la Contratista en su escrito de descargos carece de sustento.</w:t>
      </w:r>
    </w:p>
    <w:p w:rsidR="00D96478" w:rsidRDefault="00D96478" w:rsidP="00D96478">
      <w:pPr>
        <w:ind w:right="-1"/>
        <w:jc w:val="both"/>
        <w:rPr>
          <w:rFonts w:ascii="Tahoma" w:hAnsi="Tahoma" w:cs="Tahoma"/>
          <w:sz w:val="22"/>
          <w:szCs w:val="22"/>
        </w:rPr>
      </w:pPr>
    </w:p>
    <w:p w:rsidR="00D96478" w:rsidRPr="0034772C" w:rsidRDefault="00D96478" w:rsidP="00D96478">
      <w:pPr>
        <w:numPr>
          <w:ilvl w:val="0"/>
          <w:numId w:val="4"/>
        </w:numPr>
        <w:tabs>
          <w:tab w:val="clear" w:pos="454"/>
        </w:tabs>
        <w:ind w:left="567" w:right="-1" w:hanging="567"/>
        <w:jc w:val="both"/>
        <w:rPr>
          <w:rFonts w:ascii="Tahoma" w:hAnsi="Tahoma" w:cs="Tahoma"/>
          <w:sz w:val="22"/>
          <w:szCs w:val="22"/>
        </w:rPr>
      </w:pPr>
      <w:r>
        <w:rPr>
          <w:rFonts w:ascii="Tahoma" w:hAnsi="Tahoma" w:cs="Tahoma"/>
          <w:sz w:val="22"/>
          <w:szCs w:val="22"/>
        </w:rPr>
        <w:t xml:space="preserve">Por otra parte, tampoco cabe amparar el argumento señalado por la Contratista, respecto a que la Entidad ha actuado de mala fe al no incluir en el CONTRATO DE BIENES Nº 028-2010-GR.LAMB “ADQUISICIÓN DE CEMENTO PORTLAND TIPO I”, lo consignado en el numeral 3 de la Cláusula Tercera de la Proforma de dicho contrato, Anexo 06 de las Bases Administrativas, respecto a </w:t>
      </w:r>
      <w:r w:rsidRPr="00267132">
        <w:rPr>
          <w:rFonts w:ascii="Tahoma" w:hAnsi="Tahoma" w:cs="Tahoma"/>
          <w:sz w:val="22"/>
          <w:szCs w:val="22"/>
        </w:rPr>
        <w:t>“QUE LA ENTIDAD SE SUJETARÁ AL FLUJO DE PRECIOS QUE DISPONGA EL MERCADO NACIONAL Y EL MINISTERIO DE ENERGIA Y MINAS, CASO DE VARIAR EL PRECIO”</w:t>
      </w:r>
      <w:r>
        <w:rPr>
          <w:rFonts w:ascii="Tahoma" w:hAnsi="Tahoma" w:cs="Tahoma"/>
          <w:sz w:val="22"/>
          <w:szCs w:val="22"/>
        </w:rPr>
        <w:t xml:space="preserve">, toda vez que </w:t>
      </w:r>
      <w:r w:rsidRPr="0034772C">
        <w:rPr>
          <w:rFonts w:ascii="Tahoma" w:hAnsi="Tahoma" w:cs="Tahoma"/>
          <w:sz w:val="22"/>
          <w:szCs w:val="22"/>
          <w:lang w:val="es-PE"/>
        </w:rPr>
        <w:t xml:space="preserve">debe tener en cuenta que de acuerdo a la normativa de Contrataciones del Estado, el contrato está conformado por el documento que lo contiene, las Bases Integradas y la oferta ganadora, así como los documentos </w:t>
      </w:r>
      <w:r w:rsidRPr="0034772C">
        <w:rPr>
          <w:rFonts w:ascii="Tahoma" w:hAnsi="Tahoma" w:cs="Tahoma"/>
          <w:sz w:val="22"/>
          <w:szCs w:val="22"/>
          <w:lang w:val="es-PE"/>
        </w:rPr>
        <w:lastRenderedPageBreak/>
        <w:t xml:space="preserve">derivados del proceso de selección que establezcan obligaciones para las partes, aspectos que </w:t>
      </w:r>
      <w:r>
        <w:rPr>
          <w:rFonts w:ascii="Tahoma" w:hAnsi="Tahoma" w:cs="Tahoma"/>
          <w:sz w:val="22"/>
          <w:szCs w:val="22"/>
          <w:lang w:val="es-PE"/>
        </w:rPr>
        <w:t>este Tribunal toma en cuenta al momento de evaluar si corresponde imponer sanción administrativa o no al Contratista, no obstante ello, tal como se señaló anteriormente, en el presente caso, este Tribunal ha verificado que no existió una situación que permita concluir que la resolución del contrato se dio por causal no atribuible a la Contratista.</w:t>
      </w:r>
    </w:p>
    <w:p w:rsidR="00D96478" w:rsidRDefault="00D96478" w:rsidP="00D96478">
      <w:pPr>
        <w:ind w:right="-1"/>
        <w:jc w:val="both"/>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3F4AB7">
        <w:rPr>
          <w:rFonts w:ascii="Tahoma" w:hAnsi="Tahoma" w:cs="Tahoma"/>
          <w:sz w:val="22"/>
          <w:szCs w:val="22"/>
        </w:rPr>
        <w:t xml:space="preserve">Por lo expuesto, a este Tribunal considera que corresponde imponerle sanción administrativa </w:t>
      </w:r>
      <w:r>
        <w:rPr>
          <w:rFonts w:ascii="Tahoma" w:hAnsi="Tahoma" w:cs="Tahoma"/>
          <w:sz w:val="22"/>
          <w:szCs w:val="22"/>
        </w:rPr>
        <w:t xml:space="preserve">al Consorcio </w:t>
      </w:r>
      <w:r w:rsidRPr="003F4AB7">
        <w:rPr>
          <w:rFonts w:ascii="Tahoma" w:hAnsi="Tahoma" w:cs="Tahoma"/>
          <w:sz w:val="22"/>
          <w:szCs w:val="22"/>
        </w:rPr>
        <w:t xml:space="preserve">por haber incurrido en la causal prevista en el </w:t>
      </w:r>
      <w:r w:rsidRPr="003F4AB7">
        <w:rPr>
          <w:rFonts w:ascii="Tahoma" w:eastAsia="MS Mincho" w:hAnsi="Tahoma" w:cs="Tahoma"/>
          <w:sz w:val="22"/>
          <w:szCs w:val="22"/>
        </w:rPr>
        <w:t>literal b) del numeral 51.1 del artículo 51 de la Ley y el literal b) del numeral 1 del artículo 237 del Reglamento</w:t>
      </w:r>
      <w:r w:rsidRPr="003F4AB7">
        <w:rPr>
          <w:rFonts w:ascii="Tahoma" w:hAnsi="Tahoma" w:cs="Tahoma"/>
          <w:sz w:val="22"/>
          <w:szCs w:val="22"/>
        </w:rPr>
        <w:t xml:space="preserve">. </w:t>
      </w:r>
    </w:p>
    <w:p w:rsidR="00D96478" w:rsidRDefault="00D96478" w:rsidP="00D96478">
      <w:pPr>
        <w:pStyle w:val="Prrafodelista"/>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3F4AB7">
        <w:rPr>
          <w:rFonts w:ascii="Tahoma" w:hAnsi="Tahoma" w:cs="Tahoma"/>
          <w:sz w:val="22"/>
          <w:szCs w:val="22"/>
        </w:rPr>
        <w:t xml:space="preserve">En tal sentido, en el presente caso la sanción se aplicará, de conformidad al artículo 237 </w:t>
      </w:r>
      <w:r w:rsidRPr="003F4AB7">
        <w:rPr>
          <w:rFonts w:ascii="Tahoma" w:eastAsia="MS Mincho" w:hAnsi="Tahoma" w:cs="Tahoma"/>
          <w:sz w:val="22"/>
          <w:szCs w:val="22"/>
        </w:rPr>
        <w:t xml:space="preserve">del Reglamento, el mismo que </w:t>
      </w:r>
      <w:r w:rsidRPr="003F4AB7">
        <w:rPr>
          <w:rFonts w:ascii="Tahoma" w:hAnsi="Tahoma" w:cs="Tahoma"/>
          <w:sz w:val="22"/>
          <w:szCs w:val="22"/>
        </w:rPr>
        <w:t xml:space="preserve">establece que los proveedores, participantes, postores o contratistas que incurran en las causales establecidas en los literales a), b), c), d) e), f) h), i), j y k) serán sancionados con inhabilitación temporal para contratar con el Estado por un período no menor a un (1) año ni mayor de tres (3) años. </w:t>
      </w:r>
    </w:p>
    <w:p w:rsidR="00D96478" w:rsidRPr="0019114C" w:rsidRDefault="00D96478" w:rsidP="00D96478">
      <w:pPr>
        <w:jc w:val="both"/>
        <w:rPr>
          <w:rFonts w:ascii="Tahoma" w:hAnsi="Tahoma" w:cs="Tahoma"/>
          <w:sz w:val="22"/>
          <w:szCs w:val="22"/>
        </w:rPr>
      </w:pPr>
    </w:p>
    <w:p w:rsidR="00D96478" w:rsidRPr="0019114C" w:rsidRDefault="00D96478" w:rsidP="00D96478">
      <w:pPr>
        <w:ind w:left="567"/>
        <w:jc w:val="both"/>
        <w:rPr>
          <w:rFonts w:ascii="Tahoma" w:hAnsi="Tahoma" w:cs="Tahoma"/>
          <w:sz w:val="22"/>
          <w:szCs w:val="22"/>
        </w:rPr>
      </w:pPr>
      <w:r w:rsidRPr="0019114C">
        <w:rPr>
          <w:rFonts w:ascii="Tahoma" w:hAnsi="Tahoma" w:cs="Tahoma"/>
          <w:sz w:val="22"/>
          <w:szCs w:val="22"/>
        </w:rPr>
        <w:t>Asimismo, la sanción que se impondrá deberá ser graduada dentro de los límites dispuestos en dicho artículo 237, para lo cual deberá tenerse en cuenta lo dispuesto por el artículo 245</w:t>
      </w:r>
      <w:r w:rsidRPr="0019114C">
        <w:rPr>
          <w:rStyle w:val="Refdenotaalpie"/>
          <w:rFonts w:ascii="Tahoma" w:eastAsia="Batang" w:hAnsi="Tahoma" w:cs="Tahoma"/>
          <w:sz w:val="22"/>
          <w:szCs w:val="22"/>
        </w:rPr>
        <w:footnoteReference w:id="4"/>
      </w:r>
      <w:r w:rsidRPr="0019114C">
        <w:rPr>
          <w:rFonts w:ascii="Tahoma" w:hAnsi="Tahoma" w:cs="Tahoma"/>
          <w:sz w:val="22"/>
          <w:szCs w:val="22"/>
        </w:rPr>
        <w:t xml:space="preserve"> del Reglamento.</w:t>
      </w:r>
    </w:p>
    <w:p w:rsidR="00D96478" w:rsidRDefault="00D96478" w:rsidP="00D96478">
      <w:pPr>
        <w:pStyle w:val="Prrafodelista"/>
        <w:jc w:val="both"/>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3F4AB7">
        <w:rPr>
          <w:rFonts w:ascii="Tahoma" w:hAnsi="Tahoma" w:cs="Tahoma"/>
          <w:sz w:val="22"/>
          <w:szCs w:val="22"/>
        </w:rPr>
        <w:t>Atendiendo a dichos criterios, en lo que concierne a la naturaleza de la infracción, es importante señalar que</w:t>
      </w:r>
      <w:r>
        <w:rPr>
          <w:rFonts w:ascii="Tahoma" w:hAnsi="Tahoma" w:cs="Tahoma"/>
          <w:sz w:val="22"/>
          <w:szCs w:val="22"/>
        </w:rPr>
        <w:t>, si bien es cierto, la Contratista ha señalado que no existió el riesgo de perder la inversión al ser revertida al Tesoro Público en el caso de un posible recorte presupuestal, por el no cumplimiento del contrato, toda vez que al estar incluida en el Plan Anual de Contrataciones PAC y en el Presupuesto Anual de la Entidad, el cual puede modificarse de acuerdo a la modificaciones presupuestarias que realice la Entidad, consecuentemente, al haberse programado la ejecución de la obra para la cual estaba destinada el Cemento, es imposible que su presupuesto se revierta al Tesoro Público, no es menos cierto que</w:t>
      </w:r>
      <w:r w:rsidRPr="003F4AB7">
        <w:rPr>
          <w:rFonts w:ascii="Tahoma" w:hAnsi="Tahoma" w:cs="Tahoma"/>
          <w:sz w:val="22"/>
          <w:szCs w:val="22"/>
        </w:rPr>
        <w:t xml:space="preserve"> la conducta denunciada reviste una considerable gravedad en </w:t>
      </w:r>
      <w:r w:rsidRPr="003F4AB7">
        <w:rPr>
          <w:rFonts w:ascii="Tahoma" w:hAnsi="Tahoma" w:cs="Tahoma"/>
          <w:sz w:val="22"/>
          <w:szCs w:val="22"/>
        </w:rPr>
        <w:lastRenderedPageBreak/>
        <w:t>la medida que d</w:t>
      </w:r>
      <w:r>
        <w:rPr>
          <w:rFonts w:ascii="Tahoma" w:hAnsi="Tahoma" w:cs="Tahoma"/>
          <w:sz w:val="22"/>
          <w:szCs w:val="22"/>
        </w:rPr>
        <w:t>esde el momento que la Contratista</w:t>
      </w:r>
      <w:r w:rsidRPr="003F4AB7">
        <w:rPr>
          <w:rFonts w:ascii="Tahoma" w:hAnsi="Tahoma" w:cs="Tahoma"/>
          <w:sz w:val="22"/>
          <w:szCs w:val="22"/>
        </w:rPr>
        <w:t xml:space="preserve"> asumió un compromiso contractual frente a la Entidad, se encontraba llamado a cumplir cabalmente lo ofrecido, máxime si es conocido que ante un eventual incumplimiento se verían seriamente afectados intereses de carácter público así como retrasado el cumplimiento de las metas institucionales de la Entidad.</w:t>
      </w:r>
    </w:p>
    <w:p w:rsidR="00D96478" w:rsidRDefault="00D96478" w:rsidP="00D96478">
      <w:pPr>
        <w:ind w:left="567" w:right="-1"/>
        <w:jc w:val="both"/>
        <w:rPr>
          <w:rFonts w:ascii="Tahoma" w:hAnsi="Tahoma" w:cs="Tahoma"/>
          <w:sz w:val="22"/>
          <w:szCs w:val="22"/>
        </w:rPr>
      </w:pPr>
    </w:p>
    <w:p w:rsidR="00D96478" w:rsidRDefault="00D96478" w:rsidP="00D96478">
      <w:pPr>
        <w:numPr>
          <w:ilvl w:val="0"/>
          <w:numId w:val="4"/>
        </w:numPr>
        <w:tabs>
          <w:tab w:val="clear" w:pos="454"/>
        </w:tabs>
        <w:ind w:left="567" w:right="-1" w:hanging="567"/>
        <w:jc w:val="both"/>
        <w:rPr>
          <w:rFonts w:ascii="Tahoma" w:hAnsi="Tahoma" w:cs="Tahoma"/>
          <w:sz w:val="22"/>
          <w:szCs w:val="22"/>
        </w:rPr>
      </w:pPr>
      <w:r w:rsidRPr="00D75585">
        <w:rPr>
          <w:rFonts w:ascii="Tahoma" w:hAnsi="Tahoma" w:cs="Tahoma"/>
          <w:sz w:val="22"/>
          <w:szCs w:val="22"/>
        </w:rPr>
        <w:t xml:space="preserve">Asimismo, respecto de la conducta procesal, conviene precisar que durante la sustanciación del presente procedimiento administrativo sancionador, </w:t>
      </w:r>
      <w:r>
        <w:rPr>
          <w:rFonts w:ascii="Tahoma" w:hAnsi="Tahoma" w:cs="Tahoma"/>
          <w:sz w:val="22"/>
          <w:szCs w:val="22"/>
        </w:rPr>
        <w:t>la Contratista ha presentado sus</w:t>
      </w:r>
      <w:r w:rsidRPr="00D75585">
        <w:rPr>
          <w:rFonts w:ascii="Tahoma" w:hAnsi="Tahoma" w:cs="Tahoma"/>
          <w:sz w:val="22"/>
          <w:szCs w:val="22"/>
        </w:rPr>
        <w:t xml:space="preserve"> descargos dentro del plazo concedido</w:t>
      </w:r>
      <w:r>
        <w:rPr>
          <w:rFonts w:ascii="Tahoma" w:hAnsi="Tahoma" w:cs="Tahoma"/>
          <w:sz w:val="22"/>
          <w:szCs w:val="22"/>
        </w:rPr>
        <w:t>.</w:t>
      </w:r>
    </w:p>
    <w:p w:rsidR="00D96478" w:rsidRDefault="00D96478" w:rsidP="00D96478">
      <w:pPr>
        <w:pStyle w:val="Prrafodelista"/>
        <w:rPr>
          <w:rFonts w:ascii="Tahoma" w:hAnsi="Tahoma" w:cs="Tahoma"/>
          <w:sz w:val="22"/>
          <w:szCs w:val="22"/>
        </w:rPr>
      </w:pPr>
    </w:p>
    <w:p w:rsidR="00D96478" w:rsidRPr="00280232" w:rsidRDefault="00D96478" w:rsidP="00D96478">
      <w:pPr>
        <w:numPr>
          <w:ilvl w:val="0"/>
          <w:numId w:val="4"/>
        </w:numPr>
        <w:tabs>
          <w:tab w:val="clear" w:pos="454"/>
        </w:tabs>
        <w:ind w:left="567" w:right="-1" w:hanging="567"/>
        <w:jc w:val="both"/>
        <w:rPr>
          <w:rFonts w:ascii="Tahoma" w:hAnsi="Tahoma" w:cs="Tahoma"/>
          <w:sz w:val="22"/>
          <w:szCs w:val="22"/>
        </w:rPr>
      </w:pPr>
      <w:r w:rsidRPr="00280232">
        <w:rPr>
          <w:rFonts w:ascii="Tahoma" w:hAnsi="Tahoma" w:cs="Tahoma"/>
          <w:color w:val="000000" w:themeColor="text1"/>
          <w:sz w:val="22"/>
          <w:szCs w:val="22"/>
        </w:rPr>
        <w:t xml:space="preserve">Así también, </w:t>
      </w:r>
      <w:r w:rsidRPr="00280232">
        <w:rPr>
          <w:rFonts w:ascii="Tahoma" w:hAnsi="Tahoma" w:cs="Tahoma"/>
          <w:sz w:val="22"/>
          <w:szCs w:val="22"/>
        </w:rPr>
        <w:t>debemos tener presente que obra a favor de la Contratista</w:t>
      </w:r>
      <w:r w:rsidRPr="00280232">
        <w:rPr>
          <w:rFonts w:ascii="Tahoma" w:hAnsi="Tahoma" w:cs="Tahoma"/>
          <w:sz w:val="22"/>
          <w:szCs w:val="22"/>
          <w:lang w:val="es-PE"/>
        </w:rPr>
        <w:t>,</w:t>
      </w:r>
      <w:r w:rsidRPr="00280232">
        <w:rPr>
          <w:rFonts w:ascii="Tahoma" w:hAnsi="Tahoma" w:cs="Tahoma"/>
          <w:sz w:val="22"/>
          <w:szCs w:val="22"/>
        </w:rPr>
        <w:t xml:space="preserve"> el elemento atenuante consistente en la ausencia de antecedentes en la comisión de infracciones.</w:t>
      </w:r>
    </w:p>
    <w:p w:rsidR="00D96478" w:rsidRDefault="00D96478" w:rsidP="00D96478">
      <w:pPr>
        <w:pStyle w:val="Prrafodelista"/>
        <w:rPr>
          <w:rFonts w:ascii="Tahoma" w:hAnsi="Tahoma" w:cs="Tahoma"/>
          <w:color w:val="000000" w:themeColor="text1"/>
          <w:sz w:val="22"/>
          <w:szCs w:val="22"/>
        </w:rPr>
      </w:pPr>
    </w:p>
    <w:p w:rsidR="00D96478" w:rsidRPr="00DA70F7" w:rsidRDefault="00D96478" w:rsidP="00D96478">
      <w:pPr>
        <w:numPr>
          <w:ilvl w:val="0"/>
          <w:numId w:val="4"/>
        </w:numPr>
        <w:tabs>
          <w:tab w:val="clear" w:pos="454"/>
        </w:tabs>
        <w:ind w:left="567" w:right="-1" w:hanging="567"/>
        <w:jc w:val="both"/>
        <w:rPr>
          <w:rFonts w:ascii="Tahoma" w:hAnsi="Tahoma" w:cs="Tahoma"/>
          <w:color w:val="000000" w:themeColor="text1"/>
          <w:sz w:val="22"/>
          <w:szCs w:val="22"/>
        </w:rPr>
      </w:pPr>
      <w:r w:rsidRPr="00DA70F7">
        <w:rPr>
          <w:rFonts w:ascii="Tahoma" w:hAnsi="Tahoma" w:cs="Tahoma"/>
          <w:sz w:val="22"/>
          <w:szCs w:val="22"/>
        </w:rPr>
        <w:t xml:space="preserve">Finalmente, resulta importante traer a colación el </w:t>
      </w:r>
      <w:r w:rsidRPr="00DA70F7">
        <w:rPr>
          <w:rFonts w:ascii="Tahoma" w:hAnsi="Tahoma" w:cs="Tahoma"/>
          <w:i/>
          <w:sz w:val="22"/>
          <w:szCs w:val="22"/>
        </w:rPr>
        <w:t>Principio de Razonabilidad</w:t>
      </w:r>
      <w:r w:rsidRPr="00DA70F7">
        <w:rPr>
          <w:rFonts w:ascii="Tahoma" w:hAnsi="Tahoma" w:cs="Tahoma"/>
          <w:sz w:val="22"/>
          <w:szCs w:val="22"/>
        </w:rPr>
        <w:t xml:space="preserve"> consagrado en el numeral 3 del artículo 230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D96478" w:rsidRDefault="00D96478" w:rsidP="00D96478">
      <w:pPr>
        <w:pStyle w:val="Prrafodelista"/>
        <w:rPr>
          <w:rFonts w:ascii="Tahoma" w:hAnsi="Tahoma" w:cs="Tahoma"/>
          <w:color w:val="000000" w:themeColor="text1"/>
          <w:sz w:val="22"/>
          <w:szCs w:val="22"/>
        </w:rPr>
      </w:pPr>
    </w:p>
    <w:p w:rsidR="00D96478" w:rsidRPr="00DA70F7" w:rsidRDefault="00D96478" w:rsidP="00D96478">
      <w:pPr>
        <w:numPr>
          <w:ilvl w:val="0"/>
          <w:numId w:val="4"/>
        </w:numPr>
        <w:tabs>
          <w:tab w:val="clear" w:pos="454"/>
        </w:tabs>
        <w:ind w:left="567" w:right="-1" w:hanging="567"/>
        <w:jc w:val="both"/>
        <w:rPr>
          <w:rFonts w:ascii="Tahoma" w:hAnsi="Tahoma" w:cs="Tahoma"/>
          <w:color w:val="000000" w:themeColor="text1"/>
          <w:sz w:val="22"/>
          <w:szCs w:val="22"/>
        </w:rPr>
      </w:pPr>
      <w:r w:rsidRPr="00DA70F7">
        <w:rPr>
          <w:rFonts w:ascii="Tahoma" w:hAnsi="Tahoma" w:cs="Tahoma"/>
          <w:sz w:val="22"/>
          <w:szCs w:val="22"/>
        </w:rPr>
        <w:t xml:space="preserve">Por lo antes expuesto, sin que medien circunstancias adicionales que permitan atenuar la responsabilidad de </w:t>
      </w:r>
      <w:r>
        <w:rPr>
          <w:rFonts w:ascii="Tahoma" w:hAnsi="Tahoma" w:cs="Tahoma"/>
          <w:sz w:val="22"/>
          <w:szCs w:val="22"/>
        </w:rPr>
        <w:t xml:space="preserve">la Contratista </w:t>
      </w:r>
      <w:r w:rsidRPr="00DA70F7">
        <w:rPr>
          <w:rFonts w:ascii="Tahoma" w:hAnsi="Tahoma" w:cs="Tahoma"/>
          <w:sz w:val="22"/>
          <w:szCs w:val="22"/>
        </w:rPr>
        <w:t>en la comisión de la infracción, corresponde imponerle</w:t>
      </w:r>
      <w:r w:rsidRPr="00DA70F7">
        <w:rPr>
          <w:rFonts w:ascii="Tahoma" w:eastAsia="MS Mincho" w:hAnsi="Tahoma" w:cs="Tahoma"/>
          <w:sz w:val="22"/>
          <w:szCs w:val="22"/>
        </w:rPr>
        <w:t xml:space="preserve"> la</w:t>
      </w:r>
      <w:r w:rsidRPr="00DA70F7">
        <w:rPr>
          <w:rFonts w:ascii="Tahoma" w:hAnsi="Tahoma" w:cs="Tahoma"/>
          <w:sz w:val="22"/>
          <w:szCs w:val="22"/>
        </w:rPr>
        <w:t xml:space="preserve"> sanción administrativa de inhabilitación temporal en sus derechos para participar en procesos de selección y contratar con el Estado, por el p</w:t>
      </w:r>
      <w:r>
        <w:rPr>
          <w:rFonts w:ascii="Tahoma" w:hAnsi="Tahoma" w:cs="Tahoma"/>
          <w:sz w:val="22"/>
          <w:szCs w:val="22"/>
        </w:rPr>
        <w:t>eriodo de doce (12</w:t>
      </w:r>
      <w:r w:rsidRPr="00DA70F7">
        <w:rPr>
          <w:rFonts w:ascii="Tahoma" w:hAnsi="Tahoma" w:cs="Tahoma"/>
          <w:sz w:val="22"/>
          <w:szCs w:val="22"/>
        </w:rPr>
        <w:t>) meses</w:t>
      </w:r>
      <w:r>
        <w:rPr>
          <w:rFonts w:ascii="Tahoma" w:hAnsi="Tahoma" w:cs="Tahoma"/>
          <w:sz w:val="22"/>
          <w:szCs w:val="22"/>
        </w:rPr>
        <w:t>.</w:t>
      </w:r>
    </w:p>
    <w:p w:rsidR="00D96478" w:rsidRPr="00A85917" w:rsidRDefault="00D96478" w:rsidP="00D96478">
      <w:pPr>
        <w:jc w:val="both"/>
        <w:rPr>
          <w:rFonts w:ascii="Tahoma" w:hAnsi="Tahoma" w:cs="Tahoma"/>
          <w:sz w:val="23"/>
          <w:szCs w:val="23"/>
        </w:rPr>
      </w:pPr>
    </w:p>
    <w:p w:rsidR="00D96478" w:rsidRPr="00864326" w:rsidRDefault="00D96478" w:rsidP="00D96478">
      <w:pPr>
        <w:ind w:firstLine="567"/>
        <w:jc w:val="both"/>
        <w:rPr>
          <w:rFonts w:ascii="Tahoma" w:eastAsiaTheme="minorHAnsi" w:hAnsi="Tahoma" w:cs="Tahoma"/>
          <w:color w:val="000000"/>
          <w:sz w:val="22"/>
          <w:szCs w:val="22"/>
        </w:rPr>
      </w:pPr>
      <w:r w:rsidRPr="00864326">
        <w:rPr>
          <w:rFonts w:ascii="Tahoma" w:hAnsi="Tahoma" w:cs="Tahoma"/>
          <w:sz w:val="22"/>
          <w:szCs w:val="22"/>
        </w:rPr>
        <w:t xml:space="preserve">Por estos fundamentos, </w:t>
      </w:r>
      <w:r w:rsidRPr="00864326">
        <w:rPr>
          <w:rFonts w:ascii="Tahoma" w:hAnsi="Tahoma" w:cs="Tahoma"/>
          <w:color w:val="000000"/>
          <w:sz w:val="22"/>
          <w:szCs w:val="22"/>
        </w:rPr>
        <w:t>de conformidad con el inf</w:t>
      </w:r>
      <w:r w:rsidRPr="00864326">
        <w:rPr>
          <w:rFonts w:ascii="Tahoma" w:eastAsia="Calibri" w:hAnsi="Tahoma" w:cs="Tahoma"/>
          <w:color w:val="000000"/>
          <w:sz w:val="22"/>
          <w:szCs w:val="22"/>
        </w:rPr>
        <w:t xml:space="preserve">orme de la Vocal Ponente Dra. Ada Rosa Basulto Liewald y la intervención de los Señores Vocales </w:t>
      </w:r>
      <w:r w:rsidRPr="00864326">
        <w:rPr>
          <w:rFonts w:ascii="Tahoma" w:eastAsiaTheme="minorHAnsi" w:hAnsi="Tahoma" w:cs="Tahoma"/>
          <w:color w:val="000000"/>
          <w:sz w:val="22"/>
          <w:szCs w:val="22"/>
        </w:rPr>
        <w:t xml:space="preserve">Dr. Carlos Vicente Navas Rondón y </w:t>
      </w:r>
      <w:r w:rsidRPr="00864326">
        <w:rPr>
          <w:rFonts w:ascii="Tahoma" w:eastAsia="Calibri" w:hAnsi="Tahoma" w:cs="Tahoma"/>
          <w:color w:val="000000"/>
          <w:sz w:val="22"/>
          <w:szCs w:val="22"/>
        </w:rPr>
        <w:t xml:space="preserve">Dra. Janette Elke Ramírez Maynetto; </w:t>
      </w:r>
      <w:r w:rsidRPr="00864326">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D96478" w:rsidRDefault="00D96478" w:rsidP="00D96478">
      <w:pPr>
        <w:ind w:firstLine="426"/>
        <w:jc w:val="both"/>
        <w:rPr>
          <w:rFonts w:ascii="Tahoma" w:hAnsi="Tahoma" w:cs="Tahoma"/>
          <w:sz w:val="23"/>
          <w:szCs w:val="23"/>
        </w:rPr>
      </w:pPr>
    </w:p>
    <w:p w:rsidR="00D96478" w:rsidRPr="00A85917" w:rsidRDefault="00D96478" w:rsidP="00D96478">
      <w:pPr>
        <w:ind w:firstLine="426"/>
        <w:jc w:val="both"/>
        <w:rPr>
          <w:rFonts w:ascii="Tahoma" w:hAnsi="Tahoma" w:cs="Tahoma"/>
          <w:sz w:val="23"/>
          <w:szCs w:val="23"/>
        </w:rPr>
      </w:pPr>
    </w:p>
    <w:p w:rsidR="00D96478" w:rsidRPr="00A85917" w:rsidRDefault="00D96478" w:rsidP="00D96478">
      <w:pPr>
        <w:ind w:firstLine="567"/>
        <w:jc w:val="both"/>
        <w:rPr>
          <w:rFonts w:ascii="Tahoma" w:hAnsi="Tahoma" w:cs="Tahoma"/>
          <w:b/>
          <w:sz w:val="23"/>
          <w:szCs w:val="23"/>
        </w:rPr>
      </w:pPr>
      <w:r w:rsidRPr="00A85917">
        <w:rPr>
          <w:rFonts w:ascii="Tahoma" w:hAnsi="Tahoma" w:cs="Tahoma"/>
          <w:b/>
          <w:sz w:val="23"/>
          <w:szCs w:val="23"/>
        </w:rPr>
        <w:lastRenderedPageBreak/>
        <w:t xml:space="preserve">LA SALA RESUELVE: </w:t>
      </w:r>
    </w:p>
    <w:p w:rsidR="00D96478" w:rsidRPr="00A85917" w:rsidRDefault="00D96478" w:rsidP="00D96478">
      <w:pPr>
        <w:jc w:val="both"/>
        <w:rPr>
          <w:rFonts w:ascii="Tahoma" w:hAnsi="Tahoma" w:cs="Tahoma"/>
          <w:snapToGrid w:val="0"/>
          <w:sz w:val="23"/>
          <w:szCs w:val="23"/>
        </w:rPr>
      </w:pPr>
    </w:p>
    <w:p w:rsidR="00D96478" w:rsidRPr="0019114C" w:rsidRDefault="00D96478" w:rsidP="00D96478">
      <w:pPr>
        <w:pStyle w:val="Prrafodelista"/>
        <w:widowControl/>
        <w:numPr>
          <w:ilvl w:val="0"/>
          <w:numId w:val="2"/>
        </w:numPr>
        <w:suppressAutoHyphens w:val="0"/>
        <w:ind w:left="567" w:hanging="567"/>
        <w:jc w:val="both"/>
        <w:rPr>
          <w:rFonts w:ascii="Tahoma" w:hAnsi="Tahoma" w:cs="Tahoma"/>
          <w:sz w:val="22"/>
          <w:szCs w:val="22"/>
        </w:rPr>
      </w:pPr>
      <w:r>
        <w:rPr>
          <w:rFonts w:ascii="Tahoma" w:hAnsi="Tahoma" w:cs="Tahoma"/>
          <w:sz w:val="22"/>
          <w:szCs w:val="22"/>
        </w:rPr>
        <w:t>SANCIONAR a la</w:t>
      </w:r>
      <w:r w:rsidRPr="00832CBD">
        <w:rPr>
          <w:rFonts w:ascii="Tahoma" w:hAnsi="Tahoma" w:cs="Tahoma"/>
          <w:sz w:val="22"/>
          <w:szCs w:val="22"/>
        </w:rPr>
        <w:t xml:space="preserve"> empresa </w:t>
      </w:r>
      <w:r w:rsidRPr="00A364D3">
        <w:rPr>
          <w:rFonts w:ascii="Tahoma" w:hAnsi="Tahoma" w:cs="Tahoma"/>
          <w:sz w:val="22"/>
          <w:szCs w:val="22"/>
        </w:rPr>
        <w:t>J.PALACIOS RABANAL SOCIEDAD COMERCIAL DE RESPONSABILIDAD LIMITADA</w:t>
      </w:r>
      <w:r>
        <w:rPr>
          <w:rFonts w:ascii="Tahoma" w:hAnsi="Tahoma" w:cs="Tahoma"/>
          <w:sz w:val="22"/>
          <w:szCs w:val="22"/>
        </w:rPr>
        <w:t xml:space="preserve"> con doce (12</w:t>
      </w:r>
      <w:r w:rsidRPr="0019114C">
        <w:rPr>
          <w:rFonts w:ascii="Tahoma" w:hAnsi="Tahoma" w:cs="Tahoma"/>
          <w:sz w:val="22"/>
          <w:szCs w:val="22"/>
        </w:rPr>
        <w:t>) meses de inhabilitación temporal para participar en procesos de selección y contratar con el Estado por la comisión de la infracción tipificada</w:t>
      </w:r>
      <w:r w:rsidRPr="0019114C">
        <w:rPr>
          <w:rFonts w:ascii="Tahoma" w:eastAsia="MS Mincho" w:hAnsi="Tahoma" w:cs="Tahoma"/>
          <w:sz w:val="22"/>
          <w:szCs w:val="22"/>
        </w:rPr>
        <w:t xml:space="preserve"> en el literal b) del numeral 51.1 del artículo 51 de la Ley de Contrataciones del Estado y el literal b) del numeral 1 del artículo 237 del Reglamento de la Ley de Contratacio</w:t>
      </w:r>
      <w:r>
        <w:rPr>
          <w:rFonts w:ascii="Tahoma" w:eastAsia="MS Mincho" w:hAnsi="Tahoma" w:cs="Tahoma"/>
          <w:sz w:val="22"/>
          <w:szCs w:val="22"/>
        </w:rPr>
        <w:t>nes del Estado</w:t>
      </w:r>
      <w:r w:rsidRPr="0019114C">
        <w:rPr>
          <w:rFonts w:ascii="Tahoma" w:eastAsia="MS Mincho" w:hAnsi="Tahoma" w:cs="Tahoma"/>
          <w:sz w:val="22"/>
          <w:szCs w:val="22"/>
        </w:rPr>
        <w:t xml:space="preserve">, </w:t>
      </w:r>
      <w:r w:rsidRPr="0019114C">
        <w:rPr>
          <w:rFonts w:ascii="Tahoma" w:hAnsi="Tahoma" w:cs="Tahoma"/>
          <w:sz w:val="22"/>
          <w:szCs w:val="22"/>
        </w:rPr>
        <w:t>sanción que entrará en vigencia a partir del sexto día hábil siguiente de notificada la presente resolución.</w:t>
      </w:r>
    </w:p>
    <w:p w:rsidR="00D96478" w:rsidRPr="0019114C" w:rsidRDefault="00D96478" w:rsidP="00D96478">
      <w:pPr>
        <w:ind w:left="567"/>
        <w:jc w:val="both"/>
        <w:rPr>
          <w:rFonts w:ascii="Tahoma" w:hAnsi="Tahoma" w:cs="Tahoma"/>
          <w:sz w:val="22"/>
          <w:szCs w:val="22"/>
        </w:rPr>
      </w:pPr>
    </w:p>
    <w:p w:rsidR="00D96478" w:rsidRPr="0019114C" w:rsidRDefault="00D96478" w:rsidP="00D96478">
      <w:pPr>
        <w:pStyle w:val="Prrafodelista"/>
        <w:widowControl/>
        <w:numPr>
          <w:ilvl w:val="0"/>
          <w:numId w:val="2"/>
        </w:numPr>
        <w:suppressAutoHyphens w:val="0"/>
        <w:ind w:left="567" w:hanging="567"/>
        <w:jc w:val="both"/>
        <w:rPr>
          <w:rFonts w:ascii="Tahoma" w:hAnsi="Tahoma" w:cs="Tahoma"/>
          <w:sz w:val="22"/>
          <w:szCs w:val="22"/>
        </w:rPr>
      </w:pPr>
      <w:r w:rsidRPr="0019114C">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D96478" w:rsidRPr="00A85917" w:rsidRDefault="00D96478" w:rsidP="00D96478">
      <w:pPr>
        <w:pStyle w:val="Prrafodelista"/>
        <w:ind w:left="426"/>
        <w:jc w:val="both"/>
        <w:rPr>
          <w:rFonts w:ascii="Tahoma" w:hAnsi="Tahoma" w:cs="Tahoma"/>
          <w:color w:val="000000" w:themeColor="text1"/>
          <w:sz w:val="23"/>
          <w:szCs w:val="23"/>
        </w:rPr>
      </w:pPr>
    </w:p>
    <w:p w:rsidR="00D96478" w:rsidRPr="00A85917" w:rsidRDefault="00D96478" w:rsidP="00D96478">
      <w:pPr>
        <w:pStyle w:val="Textoindependiente21"/>
        <w:ind w:firstLine="567"/>
        <w:rPr>
          <w:rFonts w:cs="Tahoma"/>
          <w:sz w:val="23"/>
          <w:szCs w:val="23"/>
        </w:rPr>
      </w:pPr>
      <w:r w:rsidRPr="00A85917">
        <w:rPr>
          <w:rFonts w:cs="Tahoma"/>
          <w:sz w:val="23"/>
          <w:szCs w:val="23"/>
        </w:rPr>
        <w:t>Regístrese, comuníquese y publíquese.</w:t>
      </w:r>
    </w:p>
    <w:p w:rsidR="00D96478" w:rsidRPr="00A85917" w:rsidRDefault="00D96478" w:rsidP="00D96478">
      <w:pPr>
        <w:jc w:val="center"/>
        <w:rPr>
          <w:rFonts w:ascii="Tahoma" w:hAnsi="Tahoma" w:cs="Tahoma"/>
          <w:b/>
          <w:sz w:val="23"/>
          <w:szCs w:val="23"/>
        </w:rPr>
      </w:pPr>
    </w:p>
    <w:p w:rsidR="00D96478" w:rsidRPr="00A85917" w:rsidRDefault="00D96478" w:rsidP="00D96478">
      <w:pPr>
        <w:jc w:val="center"/>
        <w:rPr>
          <w:rFonts w:ascii="Tahoma" w:hAnsi="Tahoma" w:cs="Tahoma"/>
          <w:b/>
          <w:sz w:val="23"/>
          <w:szCs w:val="23"/>
        </w:rPr>
      </w:pPr>
    </w:p>
    <w:p w:rsidR="00D96478" w:rsidRPr="00A85917" w:rsidRDefault="00D96478" w:rsidP="00D96478">
      <w:pPr>
        <w:jc w:val="center"/>
        <w:rPr>
          <w:rFonts w:ascii="Tahoma" w:hAnsi="Tahoma" w:cs="Tahoma"/>
          <w:b/>
          <w:sz w:val="23"/>
          <w:szCs w:val="23"/>
        </w:rPr>
      </w:pPr>
    </w:p>
    <w:p w:rsidR="00D96478" w:rsidRPr="00A85917" w:rsidRDefault="00D96478" w:rsidP="00D96478">
      <w:pPr>
        <w:jc w:val="center"/>
        <w:rPr>
          <w:rFonts w:ascii="Tahoma" w:hAnsi="Tahoma" w:cs="Tahoma"/>
          <w:b/>
          <w:sz w:val="23"/>
          <w:szCs w:val="23"/>
        </w:rPr>
      </w:pPr>
    </w:p>
    <w:p w:rsidR="00D96478" w:rsidRPr="00A85917" w:rsidRDefault="00D96478" w:rsidP="00D96478">
      <w:pPr>
        <w:jc w:val="center"/>
        <w:rPr>
          <w:rFonts w:ascii="Tahoma" w:hAnsi="Tahoma" w:cs="Tahoma"/>
          <w:b/>
          <w:sz w:val="23"/>
          <w:szCs w:val="23"/>
        </w:rPr>
      </w:pPr>
    </w:p>
    <w:p w:rsidR="00D96478" w:rsidRPr="00A85917" w:rsidRDefault="00D96478" w:rsidP="00D96478">
      <w:pPr>
        <w:jc w:val="center"/>
        <w:rPr>
          <w:rFonts w:ascii="Tahoma" w:hAnsi="Tahoma" w:cs="Tahoma"/>
          <w:b/>
          <w:sz w:val="23"/>
          <w:szCs w:val="23"/>
        </w:rPr>
      </w:pPr>
    </w:p>
    <w:p w:rsidR="00D96478" w:rsidRPr="00A85917" w:rsidRDefault="00D96478" w:rsidP="00D96478">
      <w:pPr>
        <w:jc w:val="center"/>
        <w:rPr>
          <w:rFonts w:ascii="Tahoma" w:hAnsi="Tahoma" w:cs="Tahoma"/>
          <w:b/>
          <w:sz w:val="23"/>
          <w:szCs w:val="23"/>
        </w:rPr>
      </w:pPr>
    </w:p>
    <w:p w:rsidR="00D96478" w:rsidRPr="00A85917" w:rsidRDefault="00D96478" w:rsidP="00D96478">
      <w:pPr>
        <w:jc w:val="center"/>
        <w:rPr>
          <w:rFonts w:ascii="Tahoma" w:hAnsi="Tahoma" w:cs="Tahoma"/>
          <w:b/>
          <w:sz w:val="23"/>
          <w:szCs w:val="23"/>
        </w:rPr>
      </w:pPr>
    </w:p>
    <w:p w:rsidR="00D96478" w:rsidRPr="00A85917" w:rsidRDefault="00D96478" w:rsidP="00D96478">
      <w:pPr>
        <w:jc w:val="center"/>
        <w:rPr>
          <w:rFonts w:ascii="Tahoma" w:hAnsi="Tahoma" w:cs="Tahoma"/>
          <w:b/>
          <w:shadow/>
          <w:sz w:val="23"/>
          <w:szCs w:val="23"/>
          <w:lang w:val="pt-BR"/>
        </w:rPr>
      </w:pPr>
      <w:r w:rsidRPr="00A85917">
        <w:rPr>
          <w:rFonts w:ascii="Tahoma" w:hAnsi="Tahoma" w:cs="Tahoma"/>
          <w:b/>
          <w:shadow/>
          <w:sz w:val="23"/>
          <w:szCs w:val="23"/>
          <w:lang w:val="pt-BR"/>
        </w:rPr>
        <w:t>PRESIDENTE</w:t>
      </w:r>
    </w:p>
    <w:p w:rsidR="00D96478" w:rsidRPr="00A85917" w:rsidRDefault="00D96478" w:rsidP="00D96478">
      <w:pPr>
        <w:ind w:firstLine="708"/>
        <w:rPr>
          <w:rFonts w:ascii="Tahoma" w:hAnsi="Tahoma" w:cs="Tahoma"/>
          <w:b/>
          <w:shadow/>
          <w:sz w:val="23"/>
          <w:szCs w:val="23"/>
          <w:lang w:val="pt-BR"/>
        </w:rPr>
      </w:pPr>
    </w:p>
    <w:p w:rsidR="00D96478" w:rsidRPr="00A85917" w:rsidRDefault="00D96478" w:rsidP="00D96478">
      <w:pPr>
        <w:ind w:firstLine="708"/>
        <w:rPr>
          <w:rFonts w:ascii="Tahoma" w:hAnsi="Tahoma" w:cs="Tahoma"/>
          <w:b/>
          <w:shadow/>
          <w:sz w:val="23"/>
          <w:szCs w:val="23"/>
          <w:lang w:val="pt-BR"/>
        </w:rPr>
      </w:pPr>
      <w:r w:rsidRPr="00A85917">
        <w:rPr>
          <w:rFonts w:ascii="Tahoma" w:hAnsi="Tahoma" w:cs="Tahoma"/>
          <w:b/>
          <w:shadow/>
          <w:sz w:val="23"/>
          <w:szCs w:val="23"/>
          <w:lang w:val="pt-BR"/>
        </w:rPr>
        <w:t xml:space="preserve">VOCAL           </w:t>
      </w:r>
      <w:r w:rsidRPr="00A85917">
        <w:rPr>
          <w:rFonts w:ascii="Tahoma" w:hAnsi="Tahoma" w:cs="Tahoma"/>
          <w:b/>
          <w:shadow/>
          <w:sz w:val="23"/>
          <w:szCs w:val="23"/>
          <w:lang w:val="pt-BR"/>
        </w:rPr>
        <w:tab/>
      </w:r>
      <w:r w:rsidRPr="00A85917">
        <w:rPr>
          <w:rFonts w:ascii="Tahoma" w:hAnsi="Tahoma" w:cs="Tahoma"/>
          <w:b/>
          <w:shadow/>
          <w:sz w:val="23"/>
          <w:szCs w:val="23"/>
          <w:lang w:val="pt-BR"/>
        </w:rPr>
        <w:tab/>
        <w:t xml:space="preserve">                                                     VOCAL</w:t>
      </w:r>
    </w:p>
    <w:p w:rsidR="00D96478" w:rsidRPr="00A85917" w:rsidRDefault="00D96478" w:rsidP="00D96478">
      <w:pPr>
        <w:ind w:firstLine="708"/>
        <w:rPr>
          <w:rFonts w:ascii="Tahoma" w:hAnsi="Tahoma" w:cs="Tahoma"/>
          <w:b/>
          <w:shadow/>
          <w:sz w:val="23"/>
          <w:szCs w:val="23"/>
          <w:lang w:val="pt-BR"/>
        </w:rPr>
      </w:pPr>
    </w:p>
    <w:p w:rsidR="00D96478" w:rsidRPr="00D96478" w:rsidRDefault="00D96478" w:rsidP="00D96478">
      <w:pPr>
        <w:jc w:val="both"/>
        <w:rPr>
          <w:rFonts w:ascii="Tahoma" w:hAnsi="Tahoma" w:cs="Tahoma"/>
          <w:sz w:val="23"/>
          <w:szCs w:val="23"/>
          <w:lang w:val="pt-BR"/>
        </w:rPr>
      </w:pPr>
      <w:r w:rsidRPr="00A85917">
        <w:rPr>
          <w:rFonts w:ascii="Tahoma" w:hAnsi="Tahoma" w:cs="Tahoma"/>
          <w:sz w:val="23"/>
          <w:szCs w:val="23"/>
          <w:lang w:val="pt-BR"/>
        </w:rPr>
        <w:t>ss.</w:t>
      </w:r>
    </w:p>
    <w:p w:rsidR="00D96478" w:rsidRPr="00864326" w:rsidRDefault="00D96478" w:rsidP="00D96478">
      <w:pPr>
        <w:pStyle w:val="Textoindependiente21"/>
        <w:tabs>
          <w:tab w:val="left" w:pos="5250"/>
        </w:tabs>
        <w:rPr>
          <w:rFonts w:cs="Tahoma"/>
          <w:szCs w:val="22"/>
          <w:lang w:val="pt-BR"/>
        </w:rPr>
      </w:pPr>
      <w:r w:rsidRPr="00864326">
        <w:rPr>
          <w:rFonts w:cs="Tahoma"/>
          <w:szCs w:val="22"/>
          <w:lang w:val="pt-BR"/>
        </w:rPr>
        <w:t>Navas Rondón.</w:t>
      </w:r>
    </w:p>
    <w:p w:rsidR="00D96478" w:rsidRPr="00864326" w:rsidRDefault="00D96478" w:rsidP="00D96478">
      <w:pPr>
        <w:pStyle w:val="Textoindependiente21"/>
        <w:tabs>
          <w:tab w:val="left" w:pos="5250"/>
        </w:tabs>
        <w:rPr>
          <w:rFonts w:cs="Tahoma"/>
          <w:szCs w:val="22"/>
          <w:lang w:val="pt-BR"/>
        </w:rPr>
      </w:pPr>
      <w:r w:rsidRPr="00864326">
        <w:rPr>
          <w:rFonts w:cs="Tahoma"/>
          <w:szCs w:val="22"/>
        </w:rPr>
        <w:t>Ramírez Maynetto.</w:t>
      </w:r>
    </w:p>
    <w:p w:rsidR="00D96478" w:rsidRPr="00864326" w:rsidRDefault="00D96478" w:rsidP="00D96478">
      <w:pPr>
        <w:pStyle w:val="Textoindependiente21"/>
        <w:rPr>
          <w:rFonts w:cs="Tahoma"/>
          <w:szCs w:val="22"/>
        </w:rPr>
      </w:pPr>
      <w:r w:rsidRPr="00864326">
        <w:rPr>
          <w:rFonts w:cs="Tahoma"/>
          <w:szCs w:val="22"/>
        </w:rPr>
        <w:t>Basulto Liewald.</w:t>
      </w:r>
    </w:p>
    <w:p w:rsidR="008B738B" w:rsidRDefault="002D1F09"/>
    <w:sectPr w:rsidR="008B738B" w:rsidSect="00D96478">
      <w:headerReference w:type="default" r:id="rId7"/>
      <w:pgSz w:w="11906" w:h="16838"/>
      <w:pgMar w:top="3970"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F09" w:rsidRDefault="002D1F09" w:rsidP="00D96478">
      <w:r>
        <w:separator/>
      </w:r>
    </w:p>
  </w:endnote>
  <w:endnote w:type="continuationSeparator" w:id="1">
    <w:p w:rsidR="002D1F09" w:rsidRDefault="002D1F09" w:rsidP="00D96478">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F09" w:rsidRDefault="002D1F09" w:rsidP="00D96478">
      <w:r>
        <w:separator/>
      </w:r>
    </w:p>
  </w:footnote>
  <w:footnote w:type="continuationSeparator" w:id="1">
    <w:p w:rsidR="002D1F09" w:rsidRDefault="002D1F09" w:rsidP="00D96478">
      <w:r>
        <w:continuationSeparator/>
      </w:r>
    </w:p>
  </w:footnote>
  <w:footnote w:id="2">
    <w:p w:rsidR="00D96478" w:rsidRDefault="00D96478" w:rsidP="00D96478">
      <w:pPr>
        <w:pStyle w:val="Textonotapie"/>
        <w:jc w:val="both"/>
        <w:rPr>
          <w:rFonts w:ascii="Tahoma" w:hAnsi="Tahoma" w:cs="Tahoma"/>
          <w:sz w:val="16"/>
          <w:szCs w:val="16"/>
        </w:rPr>
      </w:pPr>
      <w:r w:rsidRPr="00A728D9">
        <w:rPr>
          <w:rStyle w:val="Refdenotaalpie"/>
          <w:rFonts w:ascii="Tahoma" w:hAnsi="Tahoma" w:cs="Tahoma"/>
          <w:sz w:val="16"/>
          <w:szCs w:val="16"/>
        </w:rPr>
        <w:footnoteRef/>
      </w:r>
      <w:r w:rsidRPr="00A728D9">
        <w:rPr>
          <w:rFonts w:ascii="Tahoma" w:hAnsi="Tahoma" w:cs="Tahoma"/>
          <w:sz w:val="16"/>
          <w:szCs w:val="16"/>
        </w:rPr>
        <w:t xml:space="preserve"> La anotada presunción legal se sustenta en el </w:t>
      </w:r>
      <w:r w:rsidRPr="00A728D9">
        <w:rPr>
          <w:rFonts w:ascii="Tahoma" w:hAnsi="Tahoma" w:cs="Tahoma"/>
          <w:sz w:val="16"/>
          <w:szCs w:val="16"/>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A728D9">
        <w:rPr>
          <w:rFonts w:ascii="Tahoma" w:hAnsi="Tahoma" w:cs="Tahoma"/>
          <w:sz w:val="16"/>
          <w:szCs w:val="16"/>
        </w:rPr>
        <w:t>artículo IX, del Título Preliminar del mismo cuerpo normativo: “Las disposiciones del Código Civil se aplican supletoriamente a las relaciones y situaciones jurídicas reguladas por otras leyes, siempre que no sean incompatibles con su naturaleza”.</w:t>
      </w:r>
    </w:p>
    <w:p w:rsidR="00D96478" w:rsidRPr="00A728D9" w:rsidRDefault="00D96478" w:rsidP="00D96478">
      <w:pPr>
        <w:pStyle w:val="Textonotapie"/>
        <w:rPr>
          <w:rFonts w:ascii="Tahoma" w:hAnsi="Tahoma" w:cs="Tahoma"/>
          <w:sz w:val="16"/>
          <w:szCs w:val="16"/>
        </w:rPr>
      </w:pPr>
    </w:p>
  </w:footnote>
  <w:footnote w:id="3">
    <w:p w:rsidR="00D96478" w:rsidRDefault="00D96478" w:rsidP="00D96478">
      <w:pPr>
        <w:pStyle w:val="Textonotapie"/>
      </w:pPr>
      <w:r>
        <w:rPr>
          <w:rStyle w:val="Refdenotaalpie"/>
        </w:rPr>
        <w:footnoteRef/>
      </w:r>
      <w:r>
        <w:t xml:space="preserve"> </w:t>
      </w:r>
      <w:r w:rsidRPr="00712F33">
        <w:rPr>
          <w:rFonts w:ascii="Tahoma" w:hAnsi="Tahoma" w:cs="Tahoma"/>
          <w:sz w:val="16"/>
          <w:szCs w:val="16"/>
        </w:rPr>
        <w:t>ROBERTO DROMI. Licitación Pública. Ciudad Argentina – Editorial de Ciencia y Cultura, 1999</w:t>
      </w:r>
    </w:p>
  </w:footnote>
  <w:footnote w:id="4">
    <w:p w:rsidR="00D96478" w:rsidRPr="00A728D9" w:rsidRDefault="00D96478" w:rsidP="00D96478">
      <w:pPr>
        <w:autoSpaceDE w:val="0"/>
        <w:autoSpaceDN w:val="0"/>
        <w:adjustRightInd w:val="0"/>
        <w:jc w:val="both"/>
        <w:rPr>
          <w:rFonts w:ascii="Tahoma" w:hAnsi="Tahoma" w:cs="Tahoma"/>
          <w:b/>
          <w:bCs/>
          <w:sz w:val="16"/>
          <w:szCs w:val="16"/>
        </w:rPr>
      </w:pPr>
      <w:r w:rsidRPr="00A728D9">
        <w:rPr>
          <w:rStyle w:val="Refdenotaalpie"/>
          <w:rFonts w:ascii="Tahoma" w:eastAsia="Batang" w:hAnsi="Tahoma" w:cs="Tahoma"/>
          <w:sz w:val="16"/>
          <w:szCs w:val="16"/>
        </w:rPr>
        <w:footnoteRef/>
      </w:r>
      <w:r w:rsidRPr="00A728D9">
        <w:rPr>
          <w:rFonts w:ascii="Tahoma" w:hAnsi="Tahoma" w:cs="Tahoma"/>
          <w:sz w:val="16"/>
          <w:szCs w:val="16"/>
        </w:rPr>
        <w:t xml:space="preserve"> </w:t>
      </w:r>
      <w:r w:rsidRPr="00A728D9">
        <w:rPr>
          <w:rFonts w:ascii="Tahoma" w:hAnsi="Tahoma" w:cs="Tahoma"/>
          <w:b/>
          <w:bCs/>
          <w:sz w:val="16"/>
          <w:szCs w:val="16"/>
        </w:rPr>
        <w:t>Artículo 245.- Determinación gradual de la Sanción</w:t>
      </w:r>
    </w:p>
    <w:p w:rsidR="00D96478" w:rsidRPr="00A728D9" w:rsidRDefault="00D96478" w:rsidP="00D96478">
      <w:pPr>
        <w:autoSpaceDE w:val="0"/>
        <w:autoSpaceDN w:val="0"/>
        <w:adjustRightInd w:val="0"/>
        <w:jc w:val="both"/>
        <w:rPr>
          <w:rFonts w:ascii="Tahoma" w:hAnsi="Tahoma" w:cs="Tahoma"/>
          <w:sz w:val="16"/>
          <w:szCs w:val="16"/>
        </w:rPr>
      </w:pPr>
      <w:r w:rsidRPr="00A728D9">
        <w:rPr>
          <w:rFonts w:ascii="Tahoma" w:hAnsi="Tahoma" w:cs="Tahoma"/>
          <w:sz w:val="16"/>
          <w:szCs w:val="16"/>
        </w:rPr>
        <w:t>Para graduar la sanción a imponerse conforme a las disposiciones del presente Título, se considerarán los siguientes criterios:</w:t>
      </w:r>
    </w:p>
    <w:p w:rsidR="00D96478" w:rsidRPr="00A728D9" w:rsidRDefault="00D96478" w:rsidP="00D96478">
      <w:pPr>
        <w:autoSpaceDE w:val="0"/>
        <w:autoSpaceDN w:val="0"/>
        <w:adjustRightInd w:val="0"/>
        <w:jc w:val="both"/>
        <w:rPr>
          <w:rFonts w:ascii="Tahoma" w:hAnsi="Tahoma" w:cs="Tahoma"/>
          <w:sz w:val="16"/>
          <w:szCs w:val="16"/>
        </w:rPr>
      </w:pPr>
      <w:r w:rsidRPr="00A728D9">
        <w:rPr>
          <w:rFonts w:ascii="Tahoma" w:hAnsi="Tahoma" w:cs="Tahoma"/>
          <w:sz w:val="16"/>
          <w:szCs w:val="16"/>
        </w:rPr>
        <w:t>1) Naturaleza de la infracción.</w:t>
      </w:r>
    </w:p>
    <w:p w:rsidR="00D96478" w:rsidRPr="00A728D9" w:rsidRDefault="00D96478" w:rsidP="00D96478">
      <w:pPr>
        <w:autoSpaceDE w:val="0"/>
        <w:autoSpaceDN w:val="0"/>
        <w:adjustRightInd w:val="0"/>
        <w:jc w:val="both"/>
        <w:rPr>
          <w:rFonts w:ascii="Tahoma" w:hAnsi="Tahoma" w:cs="Tahoma"/>
          <w:sz w:val="16"/>
          <w:szCs w:val="16"/>
        </w:rPr>
      </w:pPr>
      <w:r w:rsidRPr="00A728D9">
        <w:rPr>
          <w:rFonts w:ascii="Tahoma" w:hAnsi="Tahoma" w:cs="Tahoma"/>
          <w:sz w:val="16"/>
          <w:szCs w:val="16"/>
        </w:rPr>
        <w:t>2) Intencionalidad del infractor.</w:t>
      </w:r>
    </w:p>
    <w:p w:rsidR="00D96478" w:rsidRPr="00A728D9" w:rsidRDefault="00D96478" w:rsidP="00D96478">
      <w:pPr>
        <w:autoSpaceDE w:val="0"/>
        <w:autoSpaceDN w:val="0"/>
        <w:adjustRightInd w:val="0"/>
        <w:jc w:val="both"/>
        <w:rPr>
          <w:rFonts w:ascii="Tahoma" w:hAnsi="Tahoma" w:cs="Tahoma"/>
          <w:sz w:val="16"/>
          <w:szCs w:val="16"/>
        </w:rPr>
      </w:pPr>
      <w:r w:rsidRPr="00A728D9">
        <w:rPr>
          <w:rFonts w:ascii="Tahoma" w:hAnsi="Tahoma" w:cs="Tahoma"/>
          <w:sz w:val="16"/>
          <w:szCs w:val="16"/>
        </w:rPr>
        <w:t>3) Daño causado.</w:t>
      </w:r>
    </w:p>
    <w:p w:rsidR="00D96478" w:rsidRPr="00A728D9" w:rsidRDefault="00D96478" w:rsidP="00D96478">
      <w:pPr>
        <w:autoSpaceDE w:val="0"/>
        <w:autoSpaceDN w:val="0"/>
        <w:adjustRightInd w:val="0"/>
        <w:jc w:val="both"/>
        <w:rPr>
          <w:rFonts w:ascii="Tahoma" w:hAnsi="Tahoma" w:cs="Tahoma"/>
          <w:sz w:val="16"/>
          <w:szCs w:val="16"/>
        </w:rPr>
      </w:pPr>
      <w:r w:rsidRPr="00A728D9">
        <w:rPr>
          <w:rFonts w:ascii="Tahoma" w:hAnsi="Tahoma" w:cs="Tahoma"/>
          <w:sz w:val="16"/>
          <w:szCs w:val="16"/>
        </w:rPr>
        <w:t>4) Reiterancia.</w:t>
      </w:r>
    </w:p>
    <w:p w:rsidR="00D96478" w:rsidRPr="00A728D9" w:rsidRDefault="00D96478" w:rsidP="00D96478">
      <w:pPr>
        <w:autoSpaceDE w:val="0"/>
        <w:autoSpaceDN w:val="0"/>
        <w:adjustRightInd w:val="0"/>
        <w:jc w:val="both"/>
        <w:rPr>
          <w:rFonts w:ascii="Tahoma" w:hAnsi="Tahoma" w:cs="Tahoma"/>
          <w:sz w:val="16"/>
          <w:szCs w:val="16"/>
        </w:rPr>
      </w:pPr>
      <w:r w:rsidRPr="00A728D9">
        <w:rPr>
          <w:rFonts w:ascii="Tahoma" w:hAnsi="Tahoma" w:cs="Tahoma"/>
          <w:sz w:val="16"/>
          <w:szCs w:val="16"/>
        </w:rPr>
        <w:t>5) El reconocimiento de la infracción cometida antes de que sea detectada.</w:t>
      </w:r>
    </w:p>
    <w:p w:rsidR="00D96478" w:rsidRPr="00A728D9" w:rsidRDefault="00D96478" w:rsidP="00D96478">
      <w:pPr>
        <w:autoSpaceDE w:val="0"/>
        <w:autoSpaceDN w:val="0"/>
        <w:adjustRightInd w:val="0"/>
        <w:jc w:val="both"/>
        <w:rPr>
          <w:rFonts w:ascii="Tahoma" w:hAnsi="Tahoma" w:cs="Tahoma"/>
          <w:sz w:val="16"/>
          <w:szCs w:val="16"/>
        </w:rPr>
      </w:pPr>
      <w:r w:rsidRPr="00A728D9">
        <w:rPr>
          <w:rFonts w:ascii="Tahoma" w:hAnsi="Tahoma" w:cs="Tahoma"/>
          <w:sz w:val="16"/>
          <w:szCs w:val="16"/>
        </w:rPr>
        <w:t>6) Circunstancias de tiempo, lugar y modo.</w:t>
      </w:r>
    </w:p>
    <w:p w:rsidR="00D96478" w:rsidRPr="00A728D9" w:rsidRDefault="00D96478" w:rsidP="00D96478">
      <w:pPr>
        <w:autoSpaceDE w:val="0"/>
        <w:autoSpaceDN w:val="0"/>
        <w:adjustRightInd w:val="0"/>
        <w:jc w:val="both"/>
        <w:rPr>
          <w:rFonts w:ascii="Tahoma" w:hAnsi="Tahoma" w:cs="Tahoma"/>
          <w:sz w:val="16"/>
          <w:szCs w:val="16"/>
        </w:rPr>
      </w:pPr>
      <w:r w:rsidRPr="00A728D9">
        <w:rPr>
          <w:rFonts w:ascii="Tahoma" w:hAnsi="Tahoma" w:cs="Tahoma"/>
          <w:sz w:val="16"/>
          <w:szCs w:val="16"/>
        </w:rPr>
        <w:t>7) Condiciones del infractor.</w:t>
      </w:r>
    </w:p>
    <w:p w:rsidR="00D96478" w:rsidRPr="00A728D9" w:rsidRDefault="00D96478" w:rsidP="00D96478">
      <w:pPr>
        <w:autoSpaceDE w:val="0"/>
        <w:autoSpaceDN w:val="0"/>
        <w:adjustRightInd w:val="0"/>
        <w:jc w:val="both"/>
        <w:rPr>
          <w:rFonts w:ascii="Tahoma" w:hAnsi="Tahoma" w:cs="Tahoma"/>
          <w:sz w:val="16"/>
          <w:szCs w:val="16"/>
        </w:rPr>
      </w:pPr>
      <w:r w:rsidRPr="00A728D9">
        <w:rPr>
          <w:rFonts w:ascii="Tahoma" w:hAnsi="Tahoma" w:cs="Tahoma"/>
          <w:sz w:val="16"/>
          <w:szCs w:val="16"/>
        </w:rPr>
        <w:t>8) Conducta procesal del infractor.</w:t>
      </w:r>
    </w:p>
    <w:p w:rsidR="00D96478" w:rsidRPr="00B374B2" w:rsidRDefault="00D96478" w:rsidP="00D96478">
      <w:pPr>
        <w:pStyle w:val="Textonotapie"/>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1EC" w:rsidRDefault="00EE21EC" w:rsidP="00EE21E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E21EC" w:rsidRDefault="00EE21EC" w:rsidP="00EE21EC">
    <w:pPr>
      <w:pStyle w:val="Encabezado"/>
      <w:rPr>
        <w:noProof/>
      </w:rPr>
    </w:pPr>
  </w:p>
  <w:p w:rsidR="00EE21EC" w:rsidRDefault="00EE21EC" w:rsidP="00EE21EC">
    <w:pPr>
      <w:pStyle w:val="Encabezado"/>
      <w:rPr>
        <w:noProof/>
      </w:rPr>
    </w:pPr>
  </w:p>
  <w:p w:rsidR="00EE21EC" w:rsidRDefault="00EE21EC" w:rsidP="00EE21EC">
    <w:pPr>
      <w:pStyle w:val="Encabezado"/>
      <w:rPr>
        <w:noProof/>
      </w:rPr>
    </w:pPr>
  </w:p>
  <w:p w:rsidR="00EE21EC" w:rsidRDefault="00EE21EC" w:rsidP="00EE21EC">
    <w:pPr>
      <w:pStyle w:val="Encabezado"/>
      <w:jc w:val="center"/>
    </w:pPr>
    <w:r>
      <w:rPr>
        <w:rFonts w:ascii="Monotype Corsiva" w:hAnsi="Monotype Corsiva"/>
        <w:b/>
        <w:sz w:val="44"/>
        <w:szCs w:val="44"/>
      </w:rPr>
      <w:t xml:space="preserve">Resolución Nº   </w:t>
    </w:r>
    <w:r>
      <w:rPr>
        <w:rFonts w:ascii="Tahoma" w:hAnsi="Tahoma" w:cs="Tahoma"/>
        <w:b/>
        <w:sz w:val="44"/>
        <w:szCs w:val="44"/>
      </w:rPr>
      <w:t>639-2011-TC-S1</w:t>
    </w:r>
  </w:p>
  <w:p w:rsidR="00EE21EC" w:rsidRDefault="00EE21E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A3AEC34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B204BB"/>
    <w:multiLevelType w:val="hybridMultilevel"/>
    <w:tmpl w:val="9CB8A43E"/>
    <w:lvl w:ilvl="0" w:tplc="8C68F40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nsid w:val="382365F1"/>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3">
    <w:nsid w:val="47C35AAF"/>
    <w:multiLevelType w:val="hybridMultilevel"/>
    <w:tmpl w:val="84228F6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74CE572F"/>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D96478"/>
    <w:rsid w:val="00167668"/>
    <w:rsid w:val="002B7751"/>
    <w:rsid w:val="002D1F09"/>
    <w:rsid w:val="005F0E2E"/>
    <w:rsid w:val="009042C5"/>
    <w:rsid w:val="00D96478"/>
    <w:rsid w:val="00EE21EC"/>
    <w:rsid w:val="00F422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78"/>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96478"/>
    <w:pPr>
      <w:spacing w:after="120"/>
    </w:pPr>
    <w:rPr>
      <w:sz w:val="16"/>
      <w:szCs w:val="16"/>
      <w:lang w:val="es-PE"/>
    </w:rPr>
  </w:style>
  <w:style w:type="character" w:customStyle="1" w:styleId="Textoindependiente3Car">
    <w:name w:val="Texto independiente 3 Car"/>
    <w:basedOn w:val="Fuentedeprrafopredeter"/>
    <w:link w:val="Textoindependiente3"/>
    <w:rsid w:val="00D96478"/>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D96478"/>
    <w:pPr>
      <w:jc w:val="both"/>
    </w:pPr>
    <w:rPr>
      <w:rFonts w:ascii="Tahoma" w:hAnsi="Tahoma"/>
      <w:sz w:val="22"/>
      <w:szCs w:val="20"/>
    </w:rPr>
  </w:style>
  <w:style w:type="paragraph" w:styleId="Prrafodelista">
    <w:name w:val="List Paragraph"/>
    <w:basedOn w:val="Normal"/>
    <w:uiPriority w:val="34"/>
    <w:qFormat/>
    <w:rsid w:val="00D96478"/>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Texto independiente2"/>
    <w:basedOn w:val="Normal"/>
    <w:link w:val="TextonotapieCar"/>
    <w:uiPriority w:val="99"/>
    <w:rsid w:val="00D96478"/>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Texto independiente2 Car"/>
    <w:basedOn w:val="Fuentedeprrafopredeter"/>
    <w:link w:val="Textonotapie"/>
    <w:uiPriority w:val="99"/>
    <w:rsid w:val="00D96478"/>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D96478"/>
    <w:rPr>
      <w:rFonts w:cs="Times New Roman"/>
      <w:vertAlign w:val="superscript"/>
    </w:rPr>
  </w:style>
  <w:style w:type="paragraph" w:styleId="Sangradetextonormal">
    <w:name w:val="Body Text Indent"/>
    <w:basedOn w:val="Normal"/>
    <w:link w:val="SangradetextonormalCar"/>
    <w:uiPriority w:val="99"/>
    <w:rsid w:val="00D96478"/>
    <w:pPr>
      <w:spacing w:after="120"/>
      <w:ind w:left="283"/>
    </w:pPr>
  </w:style>
  <w:style w:type="character" w:customStyle="1" w:styleId="SangradetextonormalCar">
    <w:name w:val="Sangría de texto normal Car"/>
    <w:basedOn w:val="Fuentedeprrafopredeter"/>
    <w:link w:val="Sangradetextonormal"/>
    <w:uiPriority w:val="99"/>
    <w:rsid w:val="00D96478"/>
    <w:rPr>
      <w:rFonts w:ascii="Times New Roman" w:eastAsia="Times New Roman" w:hAnsi="Times New Roman" w:cs="Times New Roman"/>
      <w:sz w:val="24"/>
      <w:szCs w:val="24"/>
      <w:lang w:eastAsia="es-ES"/>
    </w:rPr>
  </w:style>
  <w:style w:type="table" w:styleId="Tablaconcuadrcula">
    <w:name w:val="Table Grid"/>
    <w:basedOn w:val="Tablanormal"/>
    <w:uiPriority w:val="59"/>
    <w:rsid w:val="00D964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aliases w:val="maria,h"/>
    <w:basedOn w:val="Normal"/>
    <w:link w:val="EncabezadoCar"/>
    <w:uiPriority w:val="99"/>
    <w:semiHidden/>
    <w:unhideWhenUsed/>
    <w:rsid w:val="00EE21EC"/>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EE21EC"/>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semiHidden/>
    <w:unhideWhenUsed/>
    <w:rsid w:val="00EE21EC"/>
    <w:pPr>
      <w:tabs>
        <w:tab w:val="center" w:pos="4252"/>
        <w:tab w:val="right" w:pos="8504"/>
      </w:tabs>
    </w:pPr>
  </w:style>
  <w:style w:type="character" w:customStyle="1" w:styleId="PiedepginaCar">
    <w:name w:val="Pie de página Car"/>
    <w:basedOn w:val="Fuentedeprrafopredeter"/>
    <w:link w:val="Piedepgina"/>
    <w:uiPriority w:val="99"/>
    <w:semiHidden/>
    <w:rsid w:val="00EE21EC"/>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65360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4569</Words>
  <Characters>25135</Characters>
  <Application>Microsoft Office Word</Application>
  <DocSecurity>0</DocSecurity>
  <Lines>209</Lines>
  <Paragraphs>59</Paragraphs>
  <ScaleCrop>false</ScaleCrop>
  <Company/>
  <LinksUpToDate>false</LinksUpToDate>
  <CharactersWithSpaces>29645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2</cp:revision>
  <dcterms:created xsi:type="dcterms:W3CDTF">2011-04-14T20:51:00Z</dcterms:created>
  <dcterms:modified xsi:type="dcterms:W3CDTF">2011-05-12T21:12:00Z</dcterms:modified>
</cp:coreProperties>
</file>